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6A8ED" w14:textId="583C72BC" w:rsidR="00E70CF2" w:rsidRDefault="006854A4" w:rsidP="00033DBC">
      <w:pPr>
        <w:pStyle w:val="1Title"/>
        <w:ind w:left="0" w:firstLine="0"/>
      </w:pPr>
      <w:r>
        <w:t>SERVICE LEVEL AGREEMENT</w:t>
      </w:r>
    </w:p>
    <w:p w14:paraId="6F7B7F2F" w14:textId="77777777" w:rsidR="001F43B6" w:rsidRDefault="001F43B6" w:rsidP="001F43B6">
      <w:pPr>
        <w:pStyle w:val="4BodyTextMain"/>
      </w:pPr>
    </w:p>
    <w:p w14:paraId="6FCB2E46" w14:textId="310CEF55" w:rsidR="00BE1DDC" w:rsidRDefault="00BE1DDC" w:rsidP="001F43B6">
      <w:pPr>
        <w:pStyle w:val="4BodyTextMain"/>
      </w:pPr>
    </w:p>
    <w:p w14:paraId="66CFCACC" w14:textId="77777777" w:rsidR="006854A4" w:rsidRDefault="006854A4" w:rsidP="00A3120F">
      <w:pPr>
        <w:pStyle w:val="2MainHeading"/>
      </w:pPr>
      <w:r>
        <w:t>Parties</w:t>
      </w:r>
    </w:p>
    <w:p w14:paraId="0EF12A8A" w14:textId="77777777" w:rsidR="00A3120F" w:rsidRDefault="006854A4" w:rsidP="00A3120F">
      <w:r w:rsidRPr="00A3120F">
        <w:rPr>
          <w:bCs/>
        </w:rPr>
        <w:t>This Service Level Agreement is between:</w:t>
      </w:r>
      <w:r w:rsidRPr="00A3120F">
        <w:rPr>
          <w:bCs/>
        </w:rPr>
        <w:br/>
      </w:r>
    </w:p>
    <w:p w14:paraId="453D1CA3" w14:textId="3512025B" w:rsidR="006854A4" w:rsidRPr="00A3120F" w:rsidRDefault="006854A4" w:rsidP="00A3120F">
      <w:pPr>
        <w:rPr>
          <w:bCs/>
        </w:rPr>
      </w:pPr>
      <w:r>
        <w:t>The Funeral Director: [</w:t>
      </w:r>
      <w:r w:rsidRPr="00A3120F">
        <w:rPr>
          <w:color w:val="EE0000"/>
        </w:rPr>
        <w:t>legal name], [company number], [registered address]</w:t>
      </w:r>
    </w:p>
    <w:p w14:paraId="54806B1C" w14:textId="1050361B" w:rsidR="006854A4" w:rsidRDefault="006854A4" w:rsidP="006854A4">
      <w:r>
        <w:t xml:space="preserve">The Supplier: </w:t>
      </w:r>
      <w:r w:rsidRPr="009078B3">
        <w:rPr>
          <w:color w:val="EE0000"/>
        </w:rPr>
        <w:t>[legal name], [company number], [registered address]</w:t>
      </w:r>
    </w:p>
    <w:p w14:paraId="5D99FF77" w14:textId="77777777" w:rsidR="006854A4" w:rsidRDefault="006854A4" w:rsidP="006854A4">
      <w:r>
        <w:t>Together, the Parties.</w:t>
      </w:r>
    </w:p>
    <w:p w14:paraId="77EA6074" w14:textId="70387063" w:rsidR="006854A4" w:rsidRDefault="006854A4" w:rsidP="006854A4">
      <w:r>
        <w:t xml:space="preserve">Effective date: </w:t>
      </w:r>
      <w:r w:rsidRPr="00A3120F">
        <w:rPr>
          <w:color w:val="EE0000"/>
        </w:rPr>
        <w:t>[insert date]</w:t>
      </w:r>
    </w:p>
    <w:p w14:paraId="75833561" w14:textId="77777777" w:rsidR="006854A4" w:rsidRDefault="006854A4" w:rsidP="00463C33">
      <w:pPr>
        <w:spacing w:after="0"/>
        <w:rPr>
          <w:color w:val="EE0000"/>
        </w:rPr>
      </w:pPr>
      <w:r>
        <w:t xml:space="preserve">Term: </w:t>
      </w:r>
      <w:r w:rsidRPr="00A3120F">
        <w:rPr>
          <w:color w:val="EE0000"/>
        </w:rPr>
        <w:t>From the Effective date until ended in line with the Termination section.</w:t>
      </w:r>
    </w:p>
    <w:p w14:paraId="387FFB69" w14:textId="77777777" w:rsidR="00463C33" w:rsidRDefault="00463C33" w:rsidP="00463C33">
      <w:pPr>
        <w:spacing w:after="0"/>
      </w:pPr>
    </w:p>
    <w:p w14:paraId="45A3B22A" w14:textId="59FD3D4F" w:rsidR="006854A4" w:rsidRDefault="006854A4" w:rsidP="00463C33">
      <w:pPr>
        <w:pStyle w:val="2MainHeading"/>
        <w:spacing w:after="0"/>
      </w:pPr>
      <w:r>
        <w:t xml:space="preserve">Purpose and </w:t>
      </w:r>
      <w:r w:rsidR="00A3120F">
        <w:t>S</w:t>
      </w:r>
      <w:r>
        <w:t>cope</w:t>
      </w:r>
    </w:p>
    <w:p w14:paraId="33F6CCB3" w14:textId="77777777" w:rsidR="006854A4" w:rsidRDefault="006854A4" w:rsidP="006854A4">
      <w:r>
        <w:t>This SLA sets out the services the Supplier will provide, the standards to be met, and how performance will be measured and managed.</w:t>
      </w:r>
    </w:p>
    <w:p w14:paraId="1E17C7E5" w14:textId="3A3105DE" w:rsidR="006854A4" w:rsidRDefault="006854A4" w:rsidP="006854A4">
      <w:r>
        <w:t xml:space="preserve">Services covered: </w:t>
      </w:r>
      <w:r w:rsidR="00797E97">
        <w:t xml:space="preserve"> </w:t>
      </w:r>
      <w:r>
        <w:t>A detailed description is in Schedule 1 Services.</w:t>
      </w:r>
    </w:p>
    <w:p w14:paraId="115C6001" w14:textId="0898889C" w:rsidR="006854A4" w:rsidRDefault="006854A4" w:rsidP="00463C33">
      <w:pPr>
        <w:pStyle w:val="2MainHeading"/>
        <w:spacing w:before="240" w:after="0"/>
      </w:pPr>
      <w:r>
        <w:t>Definitions</w:t>
      </w:r>
    </w:p>
    <w:p w14:paraId="1FDBC89A" w14:textId="77777777" w:rsidR="006854A4" w:rsidRDefault="006854A4" w:rsidP="006854A4">
      <w:r>
        <w:t xml:space="preserve">Business hours: </w:t>
      </w:r>
      <w:r w:rsidRPr="00971698">
        <w:rPr>
          <w:color w:val="EE0000"/>
        </w:rPr>
        <w:t>[for example 09:00 to 17:00 Monday to Friday excluding bank holidays].</w:t>
      </w:r>
    </w:p>
    <w:p w14:paraId="4DAB854D" w14:textId="52A1E959" w:rsidR="006854A4" w:rsidRDefault="006854A4" w:rsidP="006854A4">
      <w:r>
        <w:t xml:space="preserve">Out of hours: Any time outside </w:t>
      </w:r>
      <w:r w:rsidR="00971698">
        <w:t>b</w:t>
      </w:r>
      <w:r>
        <w:t>usiness hours.</w:t>
      </w:r>
    </w:p>
    <w:p w14:paraId="4825AE25" w14:textId="77777777" w:rsidR="006854A4" w:rsidRDefault="006854A4" w:rsidP="006854A4">
      <w:r>
        <w:t>Incident: An event that disrupts or risks disrupting the services or the dignity and safety of any person.</w:t>
      </w:r>
    </w:p>
    <w:p w14:paraId="68968CBE" w14:textId="77777777" w:rsidR="006854A4" w:rsidRDefault="006854A4" w:rsidP="006854A4">
      <w:r>
        <w:t>Service credit: A financial credit or other agreed remedy applied when a service level is not met.</w:t>
      </w:r>
    </w:p>
    <w:p w14:paraId="72A243EA" w14:textId="329EBE3F" w:rsidR="006854A4" w:rsidRDefault="006854A4" w:rsidP="00463C33">
      <w:pPr>
        <w:pStyle w:val="2MainHeading"/>
        <w:spacing w:after="0"/>
      </w:pPr>
      <w:r>
        <w:t xml:space="preserve">Services and </w:t>
      </w:r>
      <w:r w:rsidR="00B539AE">
        <w:t>D</w:t>
      </w:r>
      <w:r>
        <w:t>eliverables</w:t>
      </w:r>
    </w:p>
    <w:p w14:paraId="5614619E" w14:textId="39239D80" w:rsidR="006854A4" w:rsidRDefault="006854A4" w:rsidP="00797E97">
      <w:pPr>
        <w:pStyle w:val="ListParagraph"/>
        <w:numPr>
          <w:ilvl w:val="0"/>
          <w:numId w:val="10"/>
        </w:numPr>
      </w:pPr>
      <w:r>
        <w:t xml:space="preserve">The Supplier will provide the </w:t>
      </w:r>
      <w:r w:rsidR="0039375E">
        <w:t xml:space="preserve">following services </w:t>
      </w:r>
      <w:r w:rsidR="0039375E" w:rsidRPr="00797E97">
        <w:rPr>
          <w:color w:val="EE0000"/>
        </w:rPr>
        <w:t xml:space="preserve">[insert here] </w:t>
      </w:r>
      <w:r>
        <w:t>with skill and care, in line with all laws and relevant codes of practice, and in a manner that protects dignity, privacy, and safety.</w:t>
      </w:r>
    </w:p>
    <w:p w14:paraId="66F1BCBE" w14:textId="77777777" w:rsidR="006854A4" w:rsidRDefault="006854A4" w:rsidP="00797E97">
      <w:pPr>
        <w:pStyle w:val="ListParagraph"/>
        <w:numPr>
          <w:ilvl w:val="0"/>
          <w:numId w:val="10"/>
        </w:numPr>
      </w:pPr>
      <w:r>
        <w:t>Deliverables, locations, volumes, and any special requirements are set out in Schedule 1.</w:t>
      </w:r>
    </w:p>
    <w:p w14:paraId="62E2B6C3" w14:textId="4E0128DE" w:rsidR="006854A4" w:rsidRDefault="006854A4" w:rsidP="00463C33">
      <w:pPr>
        <w:pStyle w:val="2MainHeading"/>
        <w:spacing w:after="0"/>
      </w:pPr>
      <w:r>
        <w:t xml:space="preserve">Service </w:t>
      </w:r>
      <w:r w:rsidR="001B7DED">
        <w:t>H</w:t>
      </w:r>
      <w:r>
        <w:t xml:space="preserve">ours and </w:t>
      </w:r>
      <w:r w:rsidR="001B7DED">
        <w:t>R</w:t>
      </w:r>
      <w:r>
        <w:t xml:space="preserve">esponse </w:t>
      </w:r>
      <w:r w:rsidR="001B7DED">
        <w:t>T</w:t>
      </w:r>
      <w:r>
        <w:t>imes</w:t>
      </w:r>
    </w:p>
    <w:p w14:paraId="2E8A4CB4" w14:textId="6AF8321E" w:rsidR="006854A4" w:rsidRDefault="006854A4" w:rsidP="00797E97">
      <w:pPr>
        <w:pStyle w:val="ListParagraph"/>
        <w:numPr>
          <w:ilvl w:val="0"/>
          <w:numId w:val="11"/>
        </w:numPr>
      </w:pPr>
      <w:r>
        <w:t xml:space="preserve">Availability: Services are available during </w:t>
      </w:r>
      <w:r w:rsidR="00950662">
        <w:t>b</w:t>
      </w:r>
      <w:r>
        <w:t>usiness hours unless agreed otherwise.</w:t>
      </w:r>
    </w:p>
    <w:p w14:paraId="0AAD6485" w14:textId="77777777" w:rsidR="006854A4" w:rsidRDefault="006854A4" w:rsidP="00797E97">
      <w:pPr>
        <w:pStyle w:val="ListParagraph"/>
        <w:numPr>
          <w:ilvl w:val="0"/>
          <w:numId w:val="11"/>
        </w:numPr>
      </w:pPr>
      <w:r>
        <w:lastRenderedPageBreak/>
        <w:t xml:space="preserve">Response: The Supplier will acknowledge requests within </w:t>
      </w:r>
      <w:r w:rsidRPr="00797E97">
        <w:rPr>
          <w:color w:val="EE0000"/>
        </w:rPr>
        <w:t xml:space="preserve">[x] </w:t>
      </w:r>
      <w:r>
        <w:t xml:space="preserve">business hours and, where applicable, attend within </w:t>
      </w:r>
      <w:r w:rsidRPr="00797E97">
        <w:rPr>
          <w:color w:val="EE0000"/>
        </w:rPr>
        <w:t xml:space="preserve">[y] </w:t>
      </w:r>
      <w:r>
        <w:t>hours.</w:t>
      </w:r>
    </w:p>
    <w:p w14:paraId="38F5EE9A" w14:textId="77777777" w:rsidR="006854A4" w:rsidRDefault="006854A4" w:rsidP="00797E97">
      <w:pPr>
        <w:pStyle w:val="ListParagraph"/>
        <w:numPr>
          <w:ilvl w:val="0"/>
          <w:numId w:val="11"/>
        </w:numPr>
      </w:pPr>
      <w:r>
        <w:t xml:space="preserve">Planned work: The Supplier will confirm bookings within </w:t>
      </w:r>
      <w:r w:rsidRPr="00797E97">
        <w:rPr>
          <w:color w:val="EE0000"/>
        </w:rPr>
        <w:t xml:space="preserve">[x] </w:t>
      </w:r>
      <w:r>
        <w:t>business hours.</w:t>
      </w:r>
    </w:p>
    <w:p w14:paraId="4DCF4AD5" w14:textId="77777777" w:rsidR="006854A4" w:rsidRDefault="006854A4" w:rsidP="00797E97">
      <w:pPr>
        <w:pStyle w:val="ListParagraph"/>
        <w:numPr>
          <w:ilvl w:val="0"/>
          <w:numId w:val="11"/>
        </w:numPr>
      </w:pPr>
      <w:r>
        <w:t>Any specific turnaround times are listed in Schedule 2 Service levels.</w:t>
      </w:r>
    </w:p>
    <w:p w14:paraId="2476B2C2" w14:textId="2E6A4FA5" w:rsidR="006854A4" w:rsidRDefault="006854A4" w:rsidP="00463C33">
      <w:pPr>
        <w:pStyle w:val="2MainHeading"/>
        <w:spacing w:after="0"/>
      </w:pPr>
      <w:r>
        <w:t xml:space="preserve">Service </w:t>
      </w:r>
      <w:r w:rsidR="00950662">
        <w:t>L</w:t>
      </w:r>
      <w:r>
        <w:t xml:space="preserve">evels and </w:t>
      </w:r>
      <w:r w:rsidR="00950662">
        <w:t>K</w:t>
      </w:r>
      <w:r>
        <w:t xml:space="preserve">ey </w:t>
      </w:r>
      <w:r w:rsidR="00950662">
        <w:t>P</w:t>
      </w:r>
      <w:r>
        <w:t xml:space="preserve">erformance </w:t>
      </w:r>
      <w:r w:rsidR="00950662">
        <w:t>I</w:t>
      </w:r>
      <w:r>
        <w:t>ndicators</w:t>
      </w:r>
    </w:p>
    <w:p w14:paraId="78B48D19" w14:textId="77777777" w:rsidR="006854A4" w:rsidRDefault="006854A4" w:rsidP="006854A4">
      <w:r>
        <w:t>Measured at the intervals stated in Schedule 2. Examples you may use:</w:t>
      </w:r>
    </w:p>
    <w:p w14:paraId="4195E301" w14:textId="46A15190" w:rsidR="006854A4" w:rsidRDefault="00950662" w:rsidP="00950662">
      <w:pPr>
        <w:pStyle w:val="ListParagraph"/>
        <w:numPr>
          <w:ilvl w:val="0"/>
          <w:numId w:val="6"/>
        </w:numPr>
      </w:pPr>
      <w:r>
        <w:t>O</w:t>
      </w:r>
      <w:r w:rsidR="006854A4">
        <w:t xml:space="preserve">n time attendance at </w:t>
      </w:r>
      <w:r w:rsidR="006854A4" w:rsidRPr="00950662">
        <w:rPr>
          <w:color w:val="EE0000"/>
        </w:rPr>
        <w:t xml:space="preserve">[x]% </w:t>
      </w:r>
      <w:r w:rsidR="006854A4">
        <w:t>or above</w:t>
      </w:r>
    </w:p>
    <w:p w14:paraId="2E327EFF" w14:textId="0CB50521" w:rsidR="006854A4" w:rsidRDefault="006854A4" w:rsidP="00950662">
      <w:pPr>
        <w:pStyle w:val="ListParagraph"/>
        <w:numPr>
          <w:ilvl w:val="0"/>
          <w:numId w:val="6"/>
        </w:numPr>
      </w:pPr>
      <w:r>
        <w:t xml:space="preserve">Records complete and accurate at </w:t>
      </w:r>
      <w:r w:rsidRPr="00950662">
        <w:rPr>
          <w:color w:val="EE0000"/>
        </w:rPr>
        <w:t xml:space="preserve">[x]% </w:t>
      </w:r>
      <w:r>
        <w:t>or above</w:t>
      </w:r>
    </w:p>
    <w:p w14:paraId="623ECA1C" w14:textId="6BC00368" w:rsidR="006854A4" w:rsidRDefault="006854A4" w:rsidP="00950662">
      <w:pPr>
        <w:pStyle w:val="ListParagraph"/>
        <w:numPr>
          <w:ilvl w:val="0"/>
          <w:numId w:val="6"/>
        </w:numPr>
      </w:pPr>
      <w:r>
        <w:t xml:space="preserve">Security and access rules followed at </w:t>
      </w:r>
      <w:r w:rsidRPr="00950662">
        <w:rPr>
          <w:color w:val="EE0000"/>
        </w:rPr>
        <w:t xml:space="preserve">[x]% </w:t>
      </w:r>
      <w:r>
        <w:t>or above</w:t>
      </w:r>
    </w:p>
    <w:p w14:paraId="1DDC8D55" w14:textId="46E0A871" w:rsidR="006854A4" w:rsidRDefault="006854A4" w:rsidP="00950662">
      <w:pPr>
        <w:pStyle w:val="ListParagraph"/>
        <w:numPr>
          <w:ilvl w:val="0"/>
          <w:numId w:val="6"/>
        </w:numPr>
      </w:pPr>
      <w:r>
        <w:t xml:space="preserve">Client or family feedback at average </w:t>
      </w:r>
      <w:r w:rsidRPr="00950662">
        <w:rPr>
          <w:color w:val="EE0000"/>
        </w:rPr>
        <w:t xml:space="preserve">[x] </w:t>
      </w:r>
      <w:r>
        <w:t>out of 10</w:t>
      </w:r>
    </w:p>
    <w:p w14:paraId="3126C4B4" w14:textId="3A4AB5F1" w:rsidR="006854A4" w:rsidRDefault="006854A4" w:rsidP="00950662">
      <w:pPr>
        <w:pStyle w:val="ListParagraph"/>
        <w:numPr>
          <w:ilvl w:val="0"/>
          <w:numId w:val="6"/>
        </w:numPr>
      </w:pPr>
      <w:r>
        <w:t xml:space="preserve">Equipment or facility readiness at </w:t>
      </w:r>
      <w:r w:rsidRPr="00950662">
        <w:rPr>
          <w:color w:val="EE0000"/>
        </w:rPr>
        <w:t xml:space="preserve">[x]% </w:t>
      </w:r>
      <w:r>
        <w:t>or above</w:t>
      </w:r>
    </w:p>
    <w:p w14:paraId="37550A87" w14:textId="77777777" w:rsidR="006854A4" w:rsidRDefault="006854A4" w:rsidP="006854A4">
      <w:r>
        <w:t>Remedies or service credits for missed targets are set out in Schedule 2.</w:t>
      </w:r>
    </w:p>
    <w:p w14:paraId="5481AE6A" w14:textId="7B6AE088" w:rsidR="006854A4" w:rsidRDefault="006854A4" w:rsidP="00463C33">
      <w:pPr>
        <w:pStyle w:val="2MainHeading"/>
        <w:spacing w:after="0"/>
      </w:pPr>
      <w:r>
        <w:t xml:space="preserve">Ordering, </w:t>
      </w:r>
      <w:r w:rsidR="00950662">
        <w:t>S</w:t>
      </w:r>
      <w:r>
        <w:t xml:space="preserve">cheduling, and </w:t>
      </w:r>
      <w:r w:rsidR="00950662">
        <w:t>C</w:t>
      </w:r>
      <w:r>
        <w:t>hanges</w:t>
      </w:r>
    </w:p>
    <w:p w14:paraId="0E0CFC64" w14:textId="77777777" w:rsidR="006854A4" w:rsidRDefault="006854A4" w:rsidP="00797E97">
      <w:pPr>
        <w:pStyle w:val="ListParagraph"/>
        <w:numPr>
          <w:ilvl w:val="0"/>
          <w:numId w:val="12"/>
        </w:numPr>
      </w:pPr>
      <w:r>
        <w:t>Orders and booking requests will be placed by email or system message to the contacts in Schedule 5.</w:t>
      </w:r>
    </w:p>
    <w:p w14:paraId="233B40AD" w14:textId="77777777" w:rsidR="006854A4" w:rsidRDefault="006854A4" w:rsidP="00797E97">
      <w:pPr>
        <w:pStyle w:val="ListParagraph"/>
        <w:numPr>
          <w:ilvl w:val="0"/>
          <w:numId w:val="12"/>
        </w:numPr>
      </w:pPr>
      <w:r>
        <w:t>The Supplier will confirm each request and any special requirements before work starts.</w:t>
      </w:r>
    </w:p>
    <w:p w14:paraId="332CF71A" w14:textId="77777777" w:rsidR="006854A4" w:rsidRDefault="006854A4" w:rsidP="00797E97">
      <w:pPr>
        <w:pStyle w:val="ListParagraph"/>
        <w:numPr>
          <w:ilvl w:val="0"/>
          <w:numId w:val="12"/>
        </w:numPr>
      </w:pPr>
      <w:r>
        <w:t>Changes or cancellations must be agreed in writing. Any related costs must be stated in Schedule 3 Pricing.</w:t>
      </w:r>
    </w:p>
    <w:p w14:paraId="5F107A82" w14:textId="0820EC55" w:rsidR="006854A4" w:rsidRDefault="006854A4" w:rsidP="00463C33">
      <w:pPr>
        <w:pStyle w:val="2MainHeading"/>
        <w:spacing w:after="0"/>
      </w:pPr>
      <w:r>
        <w:t xml:space="preserve">Staff, </w:t>
      </w:r>
      <w:r w:rsidR="00950662">
        <w:t>T</w:t>
      </w:r>
      <w:r>
        <w:t xml:space="preserve">raining, and </w:t>
      </w:r>
      <w:r w:rsidR="00950662">
        <w:t>C</w:t>
      </w:r>
      <w:r>
        <w:t>onduct</w:t>
      </w:r>
    </w:p>
    <w:p w14:paraId="1638B3CE" w14:textId="4BA82E75" w:rsidR="006854A4" w:rsidRDefault="006854A4" w:rsidP="00797E97">
      <w:pPr>
        <w:pStyle w:val="ListParagraph"/>
        <w:numPr>
          <w:ilvl w:val="0"/>
          <w:numId w:val="13"/>
        </w:numPr>
      </w:pPr>
      <w:r>
        <w:t xml:space="preserve">The Supplier </w:t>
      </w:r>
      <w:r w:rsidR="006E2DE4">
        <w:t xml:space="preserve">will be and </w:t>
      </w:r>
      <w:r>
        <w:t xml:space="preserve">will use competent and suitably trained people and </w:t>
      </w:r>
      <w:r w:rsidR="006E2DE4">
        <w:t xml:space="preserve">if appropriate </w:t>
      </w:r>
      <w:r>
        <w:t>will supervise them as needed.</w:t>
      </w:r>
    </w:p>
    <w:p w14:paraId="1856B2DD" w14:textId="77777777" w:rsidR="006854A4" w:rsidRDefault="006854A4" w:rsidP="00797E97">
      <w:pPr>
        <w:pStyle w:val="ListParagraph"/>
        <w:numPr>
          <w:ilvl w:val="0"/>
          <w:numId w:val="13"/>
        </w:numPr>
      </w:pPr>
      <w:r>
        <w:t>All Supplier personnel must act with respect and discretion, wear clean and suitable clothing, display identification when on site, and follow site rules.</w:t>
      </w:r>
    </w:p>
    <w:p w14:paraId="511897A2" w14:textId="77777777" w:rsidR="006854A4" w:rsidRDefault="006854A4" w:rsidP="00797E97">
      <w:pPr>
        <w:pStyle w:val="ListParagraph"/>
        <w:numPr>
          <w:ilvl w:val="0"/>
          <w:numId w:val="13"/>
        </w:numPr>
      </w:pPr>
      <w:r>
        <w:t>Where the role needs checks or licences, the Supplier will make sure these are in place and in date.</w:t>
      </w:r>
    </w:p>
    <w:p w14:paraId="377E0967" w14:textId="06B90EF7" w:rsidR="006854A4" w:rsidRDefault="006854A4" w:rsidP="00974297">
      <w:pPr>
        <w:pStyle w:val="2MainHeading"/>
        <w:spacing w:after="0"/>
      </w:pPr>
      <w:r>
        <w:t xml:space="preserve">Health, </w:t>
      </w:r>
      <w:r w:rsidR="00950662">
        <w:t>S</w:t>
      </w:r>
      <w:r>
        <w:t xml:space="preserve">afety, and </w:t>
      </w:r>
      <w:r w:rsidR="00950662">
        <w:t>S</w:t>
      </w:r>
      <w:r>
        <w:t>afeguarding</w:t>
      </w:r>
    </w:p>
    <w:p w14:paraId="793B8F4E" w14:textId="77777777" w:rsidR="006854A4" w:rsidRDefault="006854A4" w:rsidP="00797E97">
      <w:pPr>
        <w:pStyle w:val="ListParagraph"/>
        <w:numPr>
          <w:ilvl w:val="0"/>
          <w:numId w:val="14"/>
        </w:numPr>
      </w:pPr>
      <w:r>
        <w:t>The Supplier will follow the Funeral Director policies for health and safety, incident reporting, infection control where relevant, lone working where relevant, and fire safety.</w:t>
      </w:r>
    </w:p>
    <w:p w14:paraId="7CF589D6" w14:textId="77777777" w:rsidR="006854A4" w:rsidRDefault="006854A4" w:rsidP="00797E97">
      <w:pPr>
        <w:pStyle w:val="ListParagraph"/>
        <w:numPr>
          <w:ilvl w:val="0"/>
          <w:numId w:val="14"/>
        </w:numPr>
      </w:pPr>
      <w:r>
        <w:t>Risk assessments and safe systems of work will be in place for tasks carried out and reviewed at least once each year or after any change.</w:t>
      </w:r>
    </w:p>
    <w:p w14:paraId="72B5C329" w14:textId="77777777" w:rsidR="006854A4" w:rsidRDefault="006854A4" w:rsidP="00797E97">
      <w:pPr>
        <w:pStyle w:val="ListParagraph"/>
        <w:numPr>
          <w:ilvl w:val="0"/>
          <w:numId w:val="14"/>
        </w:numPr>
      </w:pPr>
      <w:r>
        <w:t>Any injury, near miss, spill, exposure, threat, or safeguarding concern must be reported the same day to the contacts in Schedule 5.</w:t>
      </w:r>
    </w:p>
    <w:p w14:paraId="420CF5CE" w14:textId="55EB65A0" w:rsidR="006854A4" w:rsidRDefault="006854A4" w:rsidP="00950662">
      <w:pPr>
        <w:pStyle w:val="2MainHeading"/>
        <w:spacing w:after="0"/>
      </w:pPr>
      <w:r>
        <w:t xml:space="preserve">Security, </w:t>
      </w:r>
      <w:r w:rsidR="00950662">
        <w:t>A</w:t>
      </w:r>
      <w:r>
        <w:t xml:space="preserve">ccess, and </w:t>
      </w:r>
      <w:r w:rsidR="00950662">
        <w:t>I</w:t>
      </w:r>
      <w:r>
        <w:t>dentity</w:t>
      </w:r>
    </w:p>
    <w:p w14:paraId="063EA7B2" w14:textId="77777777" w:rsidR="006854A4" w:rsidRDefault="006854A4" w:rsidP="00797E97">
      <w:pPr>
        <w:pStyle w:val="ListParagraph"/>
        <w:numPr>
          <w:ilvl w:val="0"/>
          <w:numId w:val="15"/>
        </w:numPr>
      </w:pPr>
      <w:r>
        <w:t>Access to restricted areas is by prior agreement only.</w:t>
      </w:r>
    </w:p>
    <w:p w14:paraId="2CB4128F" w14:textId="77777777" w:rsidR="006854A4" w:rsidRDefault="006854A4" w:rsidP="00797E97">
      <w:pPr>
        <w:pStyle w:val="ListParagraph"/>
        <w:numPr>
          <w:ilvl w:val="0"/>
          <w:numId w:val="15"/>
        </w:numPr>
      </w:pPr>
      <w:r>
        <w:t>Visitors sign in and are accompanied at all times.</w:t>
      </w:r>
    </w:p>
    <w:p w14:paraId="1338C8F3" w14:textId="77777777" w:rsidR="006854A4" w:rsidRDefault="006854A4" w:rsidP="00797E97">
      <w:pPr>
        <w:pStyle w:val="ListParagraph"/>
        <w:numPr>
          <w:ilvl w:val="0"/>
          <w:numId w:val="15"/>
        </w:numPr>
      </w:pPr>
      <w:r>
        <w:lastRenderedPageBreak/>
        <w:t>Personal mobile phones, cameras, and recording devices are not to be used or carried into care areas unless the Funeral Director gives written permission in advance and a record is kept.</w:t>
      </w:r>
    </w:p>
    <w:p w14:paraId="0481D352" w14:textId="77777777" w:rsidR="006854A4" w:rsidRDefault="006854A4" w:rsidP="00797E97">
      <w:pPr>
        <w:pStyle w:val="ListParagraph"/>
        <w:numPr>
          <w:ilvl w:val="0"/>
          <w:numId w:val="15"/>
        </w:numPr>
      </w:pPr>
      <w:r>
        <w:t>Where the service involves any handling or movement of the deceased, identity must be checked using the unique case number and at least two other identifiers before any movement or procedure.</w:t>
      </w:r>
    </w:p>
    <w:p w14:paraId="03949762" w14:textId="7B406782" w:rsidR="006854A4" w:rsidRDefault="006854A4" w:rsidP="00950662">
      <w:pPr>
        <w:pStyle w:val="2MainHeading"/>
        <w:spacing w:after="0"/>
      </w:pPr>
      <w:r>
        <w:t xml:space="preserve">Records and </w:t>
      </w:r>
      <w:r w:rsidR="00950662">
        <w:t>I</w:t>
      </w:r>
      <w:r>
        <w:t xml:space="preserve">nformation </w:t>
      </w:r>
      <w:r w:rsidR="00950662">
        <w:t>M</w:t>
      </w:r>
      <w:r>
        <w:t>anagement</w:t>
      </w:r>
    </w:p>
    <w:p w14:paraId="76802C9E" w14:textId="77777777" w:rsidR="006854A4" w:rsidRDefault="006854A4" w:rsidP="009F5B9E">
      <w:pPr>
        <w:pStyle w:val="ListParagraph"/>
        <w:numPr>
          <w:ilvl w:val="0"/>
          <w:numId w:val="9"/>
        </w:numPr>
      </w:pPr>
      <w:r>
        <w:t>The Supplier will keep clear and legible records of work done, dates and times, identity checks where relevant, and any incidents.</w:t>
      </w:r>
    </w:p>
    <w:p w14:paraId="2E3C9512" w14:textId="77777777" w:rsidR="006854A4" w:rsidRDefault="006854A4" w:rsidP="009F5B9E">
      <w:pPr>
        <w:pStyle w:val="ListParagraph"/>
        <w:numPr>
          <w:ilvl w:val="0"/>
          <w:numId w:val="9"/>
        </w:numPr>
      </w:pPr>
      <w:r>
        <w:t>Records requested by the Funeral Director will be provided within [x] business days and kept for the period stated in Schedule 4 Records and retention.</w:t>
      </w:r>
    </w:p>
    <w:p w14:paraId="652FAE20" w14:textId="43724ED9" w:rsidR="006854A4" w:rsidRDefault="006854A4" w:rsidP="00950662">
      <w:pPr>
        <w:pStyle w:val="2MainHeading"/>
        <w:spacing w:before="240" w:after="0"/>
      </w:pPr>
      <w:r>
        <w:t>Confidentiality</w:t>
      </w:r>
    </w:p>
    <w:p w14:paraId="7137F29D" w14:textId="77777777" w:rsidR="006854A4" w:rsidRDefault="006854A4" w:rsidP="009F5B9E">
      <w:pPr>
        <w:pStyle w:val="ListParagraph"/>
        <w:numPr>
          <w:ilvl w:val="0"/>
          <w:numId w:val="8"/>
        </w:numPr>
      </w:pPr>
      <w:r>
        <w:t>Each Party will keep confidential all information about the other Party, families, clients, and the deceased, and will use it only to deliver the Services.</w:t>
      </w:r>
    </w:p>
    <w:p w14:paraId="0A636DF2" w14:textId="77777777" w:rsidR="006854A4" w:rsidRDefault="006854A4" w:rsidP="009F5B9E">
      <w:pPr>
        <w:pStyle w:val="ListParagraph"/>
        <w:numPr>
          <w:ilvl w:val="0"/>
          <w:numId w:val="8"/>
        </w:numPr>
      </w:pPr>
      <w:r>
        <w:t>Confidential information may be shared with personnel or subcontractors who need to know it to deliver the Services and who are bound by a duty of confidence.</w:t>
      </w:r>
    </w:p>
    <w:p w14:paraId="237D8899" w14:textId="77777777" w:rsidR="006854A4" w:rsidRDefault="006854A4" w:rsidP="009F5B9E">
      <w:pPr>
        <w:pStyle w:val="ListParagraph"/>
        <w:numPr>
          <w:ilvl w:val="0"/>
          <w:numId w:val="8"/>
        </w:numPr>
      </w:pPr>
      <w:r>
        <w:t>Disclosure is allowed where required by law, a regulator, a court, or the police, and then only to the extent required.</w:t>
      </w:r>
    </w:p>
    <w:p w14:paraId="21EE2B74" w14:textId="77777777" w:rsidR="006854A4" w:rsidRDefault="006854A4" w:rsidP="009F5B9E">
      <w:pPr>
        <w:pStyle w:val="ListParagraph"/>
        <w:numPr>
          <w:ilvl w:val="0"/>
          <w:numId w:val="8"/>
        </w:numPr>
      </w:pPr>
      <w:r>
        <w:t>These duties continue after this SLA ends.</w:t>
      </w:r>
    </w:p>
    <w:p w14:paraId="29C58C08" w14:textId="77777777" w:rsidR="003E6E19" w:rsidRDefault="006854A4" w:rsidP="009F5B9E">
      <w:pPr>
        <w:pStyle w:val="ListParagraph"/>
        <w:numPr>
          <w:ilvl w:val="0"/>
          <w:numId w:val="8"/>
        </w:numPr>
      </w:pPr>
      <w:r>
        <w:t>On request or on ending this SLA, the Supplier will return or securely destroy confidential information, except for records it must keep by law.</w:t>
      </w:r>
    </w:p>
    <w:p w14:paraId="7BDA9876" w14:textId="7511DCF1" w:rsidR="006854A4" w:rsidRDefault="006854A4" w:rsidP="003E6E19">
      <w:pPr>
        <w:pStyle w:val="2MainHeading"/>
        <w:spacing w:before="240" w:after="0"/>
      </w:pPr>
      <w:r>
        <w:t xml:space="preserve">Data </w:t>
      </w:r>
      <w:r w:rsidR="003E6E19">
        <w:t>P</w:t>
      </w:r>
      <w:r>
        <w:t>rotection</w:t>
      </w:r>
    </w:p>
    <w:p w14:paraId="0C17EDF7" w14:textId="77777777" w:rsidR="006854A4" w:rsidRDefault="006854A4" w:rsidP="00797E97">
      <w:pPr>
        <w:pStyle w:val="ListParagraph"/>
        <w:numPr>
          <w:ilvl w:val="0"/>
          <w:numId w:val="16"/>
        </w:numPr>
      </w:pPr>
      <w:r>
        <w:t>The Parties will comply with UK GDPR and the Data Protection Act 2018.</w:t>
      </w:r>
    </w:p>
    <w:p w14:paraId="0D10E364" w14:textId="77777777" w:rsidR="006854A4" w:rsidRDefault="006854A4" w:rsidP="00797E97">
      <w:pPr>
        <w:pStyle w:val="ListParagraph"/>
        <w:numPr>
          <w:ilvl w:val="0"/>
          <w:numId w:val="16"/>
        </w:numPr>
      </w:pPr>
      <w:r>
        <w:t>Where one Party processes personal data for the other, a data processing schedule will set out roles, instructions, security, and retention.</w:t>
      </w:r>
    </w:p>
    <w:p w14:paraId="5BF031D1" w14:textId="77777777" w:rsidR="006854A4" w:rsidRDefault="006854A4" w:rsidP="00797E97">
      <w:pPr>
        <w:pStyle w:val="ListParagraph"/>
        <w:numPr>
          <w:ilvl w:val="0"/>
          <w:numId w:val="16"/>
        </w:numPr>
      </w:pPr>
      <w:r>
        <w:t>Personal data will be kept secure, accurate, and only for as long as needed.</w:t>
      </w:r>
    </w:p>
    <w:p w14:paraId="28B40B80" w14:textId="3D802E65" w:rsidR="006854A4" w:rsidRDefault="006854A4" w:rsidP="00974297">
      <w:pPr>
        <w:pStyle w:val="2MainHeading"/>
        <w:spacing w:after="0"/>
      </w:pPr>
      <w:r>
        <w:t xml:space="preserve">Information </w:t>
      </w:r>
      <w:r w:rsidR="003E6E19">
        <w:t>S</w:t>
      </w:r>
      <w:r>
        <w:t>ecurity</w:t>
      </w:r>
    </w:p>
    <w:p w14:paraId="1E29E88C" w14:textId="77777777" w:rsidR="006854A4" w:rsidRDefault="006854A4" w:rsidP="00797E97">
      <w:pPr>
        <w:pStyle w:val="ListParagraph"/>
        <w:numPr>
          <w:ilvl w:val="0"/>
          <w:numId w:val="17"/>
        </w:numPr>
      </w:pPr>
      <w:r>
        <w:t>The Supplier will use reasonable technical and organisational measures to protect information.</w:t>
      </w:r>
    </w:p>
    <w:p w14:paraId="48CAFB6E" w14:textId="77777777" w:rsidR="006854A4" w:rsidRDefault="006854A4" w:rsidP="00797E97">
      <w:pPr>
        <w:pStyle w:val="ListParagraph"/>
        <w:numPr>
          <w:ilvl w:val="0"/>
          <w:numId w:val="17"/>
        </w:numPr>
      </w:pPr>
      <w:r>
        <w:t>Email accounts must be protected with strong passwords and not shared.</w:t>
      </w:r>
    </w:p>
    <w:p w14:paraId="2E1C8A1F" w14:textId="77777777" w:rsidR="006854A4" w:rsidRDefault="006854A4" w:rsidP="00797E97">
      <w:pPr>
        <w:pStyle w:val="ListParagraph"/>
        <w:numPr>
          <w:ilvl w:val="0"/>
          <w:numId w:val="17"/>
        </w:numPr>
      </w:pPr>
      <w:r>
        <w:t>Portable devices used for the Services must be encrypted.</w:t>
      </w:r>
    </w:p>
    <w:p w14:paraId="17EB94F7" w14:textId="77777777" w:rsidR="006854A4" w:rsidRDefault="006854A4" w:rsidP="00797E97">
      <w:pPr>
        <w:pStyle w:val="ListParagraph"/>
        <w:numPr>
          <w:ilvl w:val="0"/>
          <w:numId w:val="17"/>
        </w:numPr>
      </w:pPr>
      <w:r>
        <w:t>Any data breach must be reported to the Funeral Director within 24 hours with details and actions taken.</w:t>
      </w:r>
    </w:p>
    <w:p w14:paraId="43BE8911" w14:textId="6F6C1177" w:rsidR="006854A4" w:rsidRDefault="006854A4" w:rsidP="00974297">
      <w:pPr>
        <w:pStyle w:val="2MainHeading"/>
        <w:spacing w:after="0"/>
      </w:pPr>
      <w:r>
        <w:t xml:space="preserve">Audit and </w:t>
      </w:r>
      <w:r w:rsidR="003E6E19">
        <w:t>I</w:t>
      </w:r>
      <w:r>
        <w:t>nspection</w:t>
      </w:r>
    </w:p>
    <w:p w14:paraId="7F9D39FF" w14:textId="77777777" w:rsidR="006854A4" w:rsidRDefault="006854A4" w:rsidP="00797E97">
      <w:pPr>
        <w:pStyle w:val="ListParagraph"/>
        <w:numPr>
          <w:ilvl w:val="0"/>
          <w:numId w:val="18"/>
        </w:numPr>
      </w:pPr>
      <w:r>
        <w:t>On reasonable notice the Funeral Director may audit the Supplier records and, where relevant, facilities to check compliance with this SLA.</w:t>
      </w:r>
    </w:p>
    <w:p w14:paraId="4DC6F042" w14:textId="77777777" w:rsidR="006854A4" w:rsidRDefault="006854A4" w:rsidP="00797E97">
      <w:pPr>
        <w:pStyle w:val="ListParagraph"/>
        <w:numPr>
          <w:ilvl w:val="0"/>
          <w:numId w:val="18"/>
        </w:numPr>
      </w:pPr>
      <w:r>
        <w:lastRenderedPageBreak/>
        <w:t>The Supplier will cooperate and will address findings within agreed time frames.</w:t>
      </w:r>
    </w:p>
    <w:p w14:paraId="63FC014C" w14:textId="31D4AC0E" w:rsidR="006854A4" w:rsidRDefault="006854A4" w:rsidP="00974297">
      <w:pPr>
        <w:pStyle w:val="2MainHeading"/>
        <w:spacing w:after="0"/>
      </w:pPr>
      <w:r>
        <w:t>Subcontracting</w:t>
      </w:r>
    </w:p>
    <w:p w14:paraId="55CA9AF9" w14:textId="77777777" w:rsidR="006854A4" w:rsidRDefault="006854A4" w:rsidP="0040680A">
      <w:pPr>
        <w:pStyle w:val="ListParagraph"/>
        <w:numPr>
          <w:ilvl w:val="0"/>
          <w:numId w:val="19"/>
        </w:numPr>
      </w:pPr>
      <w:r>
        <w:t>The Supplier will not subcontract without prior written consent.</w:t>
      </w:r>
    </w:p>
    <w:p w14:paraId="58A81E8B" w14:textId="77777777" w:rsidR="006854A4" w:rsidRDefault="006854A4" w:rsidP="0040680A">
      <w:pPr>
        <w:pStyle w:val="ListParagraph"/>
        <w:numPr>
          <w:ilvl w:val="0"/>
          <w:numId w:val="19"/>
        </w:numPr>
      </w:pPr>
      <w:r>
        <w:t>If consent is given, the Supplier remains responsible for the acts and omissions of its subcontractors.</w:t>
      </w:r>
    </w:p>
    <w:p w14:paraId="44A89D67" w14:textId="6F8E99BB" w:rsidR="006854A4" w:rsidRDefault="006854A4" w:rsidP="00974297">
      <w:pPr>
        <w:pStyle w:val="2MainHeading"/>
        <w:spacing w:after="0"/>
      </w:pPr>
      <w:r>
        <w:t>Insurance</w:t>
      </w:r>
    </w:p>
    <w:p w14:paraId="13AB4945" w14:textId="77777777" w:rsidR="006854A4" w:rsidRDefault="006854A4" w:rsidP="006854A4">
      <w:r>
        <w:t>The Supplier will maintain at all times insurance appropriate to the Services, including as applicable:</w:t>
      </w:r>
    </w:p>
    <w:p w14:paraId="2D268F2B" w14:textId="6F8EF037" w:rsidR="006854A4" w:rsidRDefault="006854A4" w:rsidP="00463C33">
      <w:pPr>
        <w:pStyle w:val="ListParagraph"/>
        <w:numPr>
          <w:ilvl w:val="0"/>
          <w:numId w:val="7"/>
        </w:numPr>
      </w:pPr>
      <w:r>
        <w:t>Public liability of at least £[</w:t>
      </w:r>
      <w:r w:rsidRPr="00463C33">
        <w:rPr>
          <w:color w:val="EE0000"/>
        </w:rPr>
        <w:t xml:space="preserve">amount] </w:t>
      </w:r>
      <w:r>
        <w:t>per claim</w:t>
      </w:r>
    </w:p>
    <w:p w14:paraId="3B4F39D1" w14:textId="477B120B" w:rsidR="006854A4" w:rsidRDefault="006854A4" w:rsidP="00463C33">
      <w:pPr>
        <w:pStyle w:val="ListParagraph"/>
        <w:numPr>
          <w:ilvl w:val="0"/>
          <w:numId w:val="7"/>
        </w:numPr>
      </w:pPr>
      <w:r>
        <w:t>Professional indemnity of at least £[</w:t>
      </w:r>
      <w:r w:rsidRPr="00463C33">
        <w:rPr>
          <w:color w:val="EE0000"/>
        </w:rPr>
        <w:t xml:space="preserve">amount] </w:t>
      </w:r>
      <w:r>
        <w:t>per claim for professional services</w:t>
      </w:r>
    </w:p>
    <w:p w14:paraId="6969CE8E" w14:textId="033B65A1" w:rsidR="006854A4" w:rsidRDefault="006854A4" w:rsidP="00463C33">
      <w:pPr>
        <w:pStyle w:val="ListParagraph"/>
        <w:numPr>
          <w:ilvl w:val="0"/>
          <w:numId w:val="7"/>
        </w:numPr>
      </w:pPr>
      <w:r>
        <w:t>Employers liability where required by law</w:t>
      </w:r>
    </w:p>
    <w:p w14:paraId="1B26104E" w14:textId="77777777" w:rsidR="006854A4" w:rsidRDefault="006854A4" w:rsidP="006854A4">
      <w:r>
        <w:t>Evidence of cover will be provided each year and on request.</w:t>
      </w:r>
    </w:p>
    <w:p w14:paraId="1E4C3756" w14:textId="6E36B7EC" w:rsidR="006854A4" w:rsidRDefault="006854A4" w:rsidP="00974297">
      <w:pPr>
        <w:pStyle w:val="2MainHeading"/>
        <w:spacing w:after="0"/>
      </w:pPr>
      <w:r>
        <w:t>Pricing, invoicing, and payment</w:t>
      </w:r>
    </w:p>
    <w:p w14:paraId="6CF39E27" w14:textId="77777777" w:rsidR="006854A4" w:rsidRDefault="006854A4" w:rsidP="0040680A">
      <w:pPr>
        <w:pStyle w:val="ListParagraph"/>
        <w:numPr>
          <w:ilvl w:val="0"/>
          <w:numId w:val="20"/>
        </w:numPr>
      </w:pPr>
      <w:r>
        <w:t>Prices are in Schedule 3 Pricing.</w:t>
      </w:r>
    </w:p>
    <w:p w14:paraId="59073C0C" w14:textId="77777777" w:rsidR="006854A4" w:rsidRDefault="006854A4" w:rsidP="0040680A">
      <w:pPr>
        <w:pStyle w:val="ListParagraph"/>
        <w:numPr>
          <w:ilvl w:val="0"/>
          <w:numId w:val="20"/>
        </w:numPr>
      </w:pPr>
      <w:r>
        <w:t xml:space="preserve">Invoices will be issued </w:t>
      </w:r>
      <w:r w:rsidRPr="0040680A">
        <w:rPr>
          <w:color w:val="EE0000"/>
        </w:rPr>
        <w:t xml:space="preserve">[monthly in arrears] </w:t>
      </w:r>
      <w:r>
        <w:t xml:space="preserve">unless agreed otherwise and will be paid within </w:t>
      </w:r>
      <w:r w:rsidRPr="0040680A">
        <w:rPr>
          <w:color w:val="EE0000"/>
        </w:rPr>
        <w:t xml:space="preserve">[30] </w:t>
      </w:r>
      <w:r>
        <w:t>days of receipt of a valid invoice.</w:t>
      </w:r>
    </w:p>
    <w:p w14:paraId="001449B1" w14:textId="77777777" w:rsidR="00463C33" w:rsidRDefault="006854A4" w:rsidP="0040680A">
      <w:pPr>
        <w:pStyle w:val="ListParagraph"/>
        <w:numPr>
          <w:ilvl w:val="0"/>
          <w:numId w:val="20"/>
        </w:numPr>
      </w:pPr>
      <w:r>
        <w:t>Charges that are not in line with this SLA or not supported by records may be queried or rejected.</w:t>
      </w:r>
    </w:p>
    <w:p w14:paraId="1EEAD5DB" w14:textId="523A0BF4" w:rsidR="006854A4" w:rsidRDefault="006854A4" w:rsidP="00974297">
      <w:pPr>
        <w:pStyle w:val="2MainHeading"/>
        <w:spacing w:after="0"/>
      </w:pPr>
      <w:r>
        <w:t xml:space="preserve">Service </w:t>
      </w:r>
      <w:r w:rsidR="00463C33">
        <w:t>C</w:t>
      </w:r>
      <w:r>
        <w:t xml:space="preserve">redits and </w:t>
      </w:r>
      <w:r w:rsidR="00463C33">
        <w:t>R</w:t>
      </w:r>
      <w:r>
        <w:t>emedies</w:t>
      </w:r>
    </w:p>
    <w:p w14:paraId="321AF52C" w14:textId="77777777" w:rsidR="006854A4" w:rsidRDefault="006854A4" w:rsidP="0040680A">
      <w:pPr>
        <w:pStyle w:val="ListParagraph"/>
        <w:numPr>
          <w:ilvl w:val="0"/>
          <w:numId w:val="21"/>
        </w:numPr>
      </w:pPr>
      <w:r>
        <w:t>If a service level is missed, remedies or service credits in Schedule 2 will apply unless agreed otherwise.</w:t>
      </w:r>
    </w:p>
    <w:p w14:paraId="4F3C5ED1" w14:textId="77777777" w:rsidR="006854A4" w:rsidRDefault="006854A4" w:rsidP="0040680A">
      <w:pPr>
        <w:pStyle w:val="ListParagraph"/>
        <w:numPr>
          <w:ilvl w:val="0"/>
          <w:numId w:val="21"/>
        </w:numPr>
      </w:pPr>
      <w:r>
        <w:t>Service credits are without prejudice to other legal remedies.</w:t>
      </w:r>
    </w:p>
    <w:p w14:paraId="5A0E5CDA" w14:textId="596B6B91" w:rsidR="006854A4" w:rsidRDefault="006854A4" w:rsidP="00974297">
      <w:pPr>
        <w:pStyle w:val="2MainHeading"/>
        <w:spacing w:after="0"/>
      </w:pPr>
      <w:r>
        <w:t xml:space="preserve">Changes and </w:t>
      </w:r>
      <w:r w:rsidR="00463C33">
        <w:t>C</w:t>
      </w:r>
      <w:r>
        <w:t xml:space="preserve">ontinuous </w:t>
      </w:r>
      <w:r w:rsidR="00463C33">
        <w:t>I</w:t>
      </w:r>
      <w:r>
        <w:t>mprovement</w:t>
      </w:r>
    </w:p>
    <w:p w14:paraId="740D0ABB" w14:textId="77777777" w:rsidR="006854A4" w:rsidRDefault="006854A4" w:rsidP="0040680A">
      <w:pPr>
        <w:pStyle w:val="ListParagraph"/>
        <w:numPr>
          <w:ilvl w:val="0"/>
          <w:numId w:val="22"/>
        </w:numPr>
      </w:pPr>
      <w:r>
        <w:t>Changes to scope, service levels, or rates must be agreed in writing.</w:t>
      </w:r>
    </w:p>
    <w:p w14:paraId="3361AB95" w14:textId="77777777" w:rsidR="006854A4" w:rsidRDefault="006854A4" w:rsidP="0040680A">
      <w:pPr>
        <w:pStyle w:val="ListParagraph"/>
        <w:numPr>
          <w:ilvl w:val="0"/>
          <w:numId w:val="22"/>
        </w:numPr>
      </w:pPr>
      <w:r>
        <w:t xml:space="preserve">The Parties will review performance at least </w:t>
      </w:r>
      <w:r w:rsidRPr="002E46B5">
        <w:rPr>
          <w:color w:val="EE0000"/>
        </w:rPr>
        <w:t xml:space="preserve">[quarterly] </w:t>
      </w:r>
      <w:r>
        <w:t>and agree improvements.</w:t>
      </w:r>
    </w:p>
    <w:p w14:paraId="45005283" w14:textId="4353D630" w:rsidR="006854A4" w:rsidRDefault="006854A4" w:rsidP="00974297">
      <w:pPr>
        <w:pStyle w:val="2MainHeading"/>
        <w:spacing w:after="0"/>
      </w:pPr>
      <w:r>
        <w:t xml:space="preserve">Termination and </w:t>
      </w:r>
      <w:r w:rsidR="00463C33">
        <w:t>S</w:t>
      </w:r>
      <w:r>
        <w:t>uspension</w:t>
      </w:r>
    </w:p>
    <w:p w14:paraId="386A4E32" w14:textId="77777777" w:rsidR="006854A4" w:rsidRDefault="006854A4" w:rsidP="002E46B5">
      <w:pPr>
        <w:pStyle w:val="ListParagraph"/>
        <w:numPr>
          <w:ilvl w:val="0"/>
          <w:numId w:val="23"/>
        </w:numPr>
      </w:pPr>
      <w:r>
        <w:t xml:space="preserve">Either Party may end this SLA for any reason with </w:t>
      </w:r>
      <w:r w:rsidRPr="002E46B5">
        <w:rPr>
          <w:color w:val="EE0000"/>
        </w:rPr>
        <w:t xml:space="preserve">[30] </w:t>
      </w:r>
      <w:r>
        <w:t>days written notice.</w:t>
      </w:r>
    </w:p>
    <w:p w14:paraId="6146AF80" w14:textId="77777777" w:rsidR="006854A4" w:rsidRDefault="006854A4" w:rsidP="002E46B5">
      <w:pPr>
        <w:pStyle w:val="ListParagraph"/>
        <w:numPr>
          <w:ilvl w:val="0"/>
          <w:numId w:val="23"/>
        </w:numPr>
      </w:pPr>
      <w:r>
        <w:t xml:space="preserve">Either Party may end this SLA immediately if the other Party commits a serious breach that is not fixed within </w:t>
      </w:r>
      <w:r w:rsidRPr="002E46B5">
        <w:rPr>
          <w:color w:val="EE0000"/>
        </w:rPr>
        <w:t xml:space="preserve">[10] </w:t>
      </w:r>
      <w:r>
        <w:t>days of notice, becomes insolvent, or loses required insurance or approvals.</w:t>
      </w:r>
    </w:p>
    <w:p w14:paraId="6FC7AB72" w14:textId="77777777" w:rsidR="006854A4" w:rsidRDefault="006854A4" w:rsidP="002E46B5">
      <w:pPr>
        <w:pStyle w:val="ListParagraph"/>
        <w:numPr>
          <w:ilvl w:val="0"/>
          <w:numId w:val="23"/>
        </w:numPr>
      </w:pPr>
      <w:r>
        <w:t>The Funeral Director may suspend the Services where there is a safety or security concern.</w:t>
      </w:r>
    </w:p>
    <w:p w14:paraId="5A092E79" w14:textId="6361F2CD" w:rsidR="006854A4" w:rsidRDefault="006854A4" w:rsidP="00974297">
      <w:pPr>
        <w:pStyle w:val="2MainHeading"/>
        <w:spacing w:after="0"/>
      </w:pPr>
      <w:r>
        <w:lastRenderedPageBreak/>
        <w:t xml:space="preserve">Exit and </w:t>
      </w:r>
      <w:r w:rsidR="0097034A">
        <w:t>H</w:t>
      </w:r>
      <w:r>
        <w:t>andover</w:t>
      </w:r>
    </w:p>
    <w:p w14:paraId="2D48ADC0" w14:textId="77777777" w:rsidR="006854A4" w:rsidRDefault="006854A4" w:rsidP="006854A4">
      <w:r>
        <w:t xml:space="preserve">On ending this SLA the Supplier will complete agreed work in progress, return property and access items, supply final records within </w:t>
      </w:r>
      <w:r w:rsidRPr="002E46B5">
        <w:rPr>
          <w:color w:val="EE0000"/>
        </w:rPr>
        <w:t xml:space="preserve">[5] </w:t>
      </w:r>
      <w:r>
        <w:t>business days, and cooperate to ensure continuity and dignity.</w:t>
      </w:r>
    </w:p>
    <w:p w14:paraId="583E77C3" w14:textId="6E59C2F3" w:rsidR="006854A4" w:rsidRDefault="006854A4" w:rsidP="00974297">
      <w:pPr>
        <w:pStyle w:val="2MainHeading"/>
        <w:spacing w:after="0"/>
      </w:pPr>
      <w:r>
        <w:t>Liability</w:t>
      </w:r>
    </w:p>
    <w:p w14:paraId="6F856BF3" w14:textId="77777777" w:rsidR="006854A4" w:rsidRDefault="006854A4" w:rsidP="002E46B5">
      <w:pPr>
        <w:pStyle w:val="ListParagraph"/>
        <w:numPr>
          <w:ilvl w:val="0"/>
          <w:numId w:val="24"/>
        </w:numPr>
      </w:pPr>
      <w:r>
        <w:t>Nothing in this SLA limits or excludes liability for death or personal injury caused by negligence, for fraud or fraudulent misrepresentation, or in any way that would be unlawful.</w:t>
      </w:r>
    </w:p>
    <w:p w14:paraId="6C8B29A2" w14:textId="77777777" w:rsidR="006854A4" w:rsidRDefault="006854A4" w:rsidP="002E46B5">
      <w:pPr>
        <w:pStyle w:val="ListParagraph"/>
        <w:numPr>
          <w:ilvl w:val="0"/>
          <w:numId w:val="24"/>
        </w:numPr>
      </w:pPr>
      <w:r>
        <w:t xml:space="preserve">Subject to the above, each Party excludes indirect or consequential loss and limits liability for all other loss to </w:t>
      </w:r>
      <w:r w:rsidRPr="002E46B5">
        <w:rPr>
          <w:color w:val="EE0000"/>
        </w:rPr>
        <w:t xml:space="preserve">£[amount] per claim </w:t>
      </w:r>
      <w:r>
        <w:t xml:space="preserve">and </w:t>
      </w:r>
      <w:r w:rsidRPr="002E46B5">
        <w:rPr>
          <w:color w:val="EE0000"/>
        </w:rPr>
        <w:t xml:space="preserve">£[amount] </w:t>
      </w:r>
      <w:r>
        <w:t>in total in any twelve month period. Statutory rights are not affected.</w:t>
      </w:r>
    </w:p>
    <w:p w14:paraId="31C91C78" w14:textId="50B127B0" w:rsidR="006854A4" w:rsidRDefault="006854A4" w:rsidP="00974297">
      <w:pPr>
        <w:pStyle w:val="2MainHeading"/>
        <w:spacing w:after="0"/>
      </w:pPr>
      <w:r>
        <w:t xml:space="preserve">Force </w:t>
      </w:r>
      <w:r w:rsidR="0097034A">
        <w:t>M</w:t>
      </w:r>
      <w:r>
        <w:t>ajeure</w:t>
      </w:r>
    </w:p>
    <w:p w14:paraId="0B5601BC" w14:textId="77777777" w:rsidR="006854A4" w:rsidRDefault="006854A4" w:rsidP="006854A4">
      <w:r>
        <w:t>Neither Party is liable for delay or failure caused by events beyond reasonable control. The affected Party will take reasonable steps to reduce impact and will inform the other Party at once.</w:t>
      </w:r>
    </w:p>
    <w:p w14:paraId="7D8D507A" w14:textId="6A1194EA" w:rsidR="006854A4" w:rsidRDefault="006854A4" w:rsidP="00974297">
      <w:pPr>
        <w:pStyle w:val="2MainHeading"/>
        <w:spacing w:after="0"/>
      </w:pPr>
      <w:r>
        <w:t>Notices</w:t>
      </w:r>
    </w:p>
    <w:p w14:paraId="31554797" w14:textId="77777777" w:rsidR="006854A4" w:rsidRDefault="006854A4" w:rsidP="002E46B5">
      <w:pPr>
        <w:pStyle w:val="ListParagraph"/>
        <w:numPr>
          <w:ilvl w:val="0"/>
          <w:numId w:val="25"/>
        </w:numPr>
      </w:pPr>
      <w:r>
        <w:t>Formal notices must be in writing and sent by hand delivery, recorded post, or email to the contacts in Schedule 5.</w:t>
      </w:r>
    </w:p>
    <w:p w14:paraId="2FA83BA8" w14:textId="77777777" w:rsidR="006854A4" w:rsidRDefault="006854A4" w:rsidP="002E46B5">
      <w:pPr>
        <w:pStyle w:val="ListParagraph"/>
        <w:numPr>
          <w:ilvl w:val="0"/>
          <w:numId w:val="25"/>
        </w:numPr>
      </w:pPr>
      <w:r>
        <w:t>A notice is received on delivery, two business days after posting, or when a delivery confirmation for email is received.</w:t>
      </w:r>
    </w:p>
    <w:p w14:paraId="640560AA" w14:textId="4ECA4648" w:rsidR="006854A4" w:rsidRDefault="006854A4" w:rsidP="00974297">
      <w:pPr>
        <w:pStyle w:val="2MainHeading"/>
        <w:spacing w:after="0"/>
      </w:pPr>
      <w:r>
        <w:t>General</w:t>
      </w:r>
    </w:p>
    <w:p w14:paraId="3D5A4249" w14:textId="77777777" w:rsidR="006854A4" w:rsidRDefault="006854A4" w:rsidP="00C0697A">
      <w:pPr>
        <w:pStyle w:val="ListParagraph"/>
        <w:numPr>
          <w:ilvl w:val="0"/>
          <w:numId w:val="26"/>
        </w:numPr>
      </w:pPr>
      <w:r>
        <w:t>Entire agreement: This SLA and its Schedules form the entire agreement for the Services.</w:t>
      </w:r>
    </w:p>
    <w:p w14:paraId="4AADACE8" w14:textId="77777777" w:rsidR="006854A4" w:rsidRDefault="006854A4" w:rsidP="00C0697A">
      <w:pPr>
        <w:pStyle w:val="ListParagraph"/>
        <w:numPr>
          <w:ilvl w:val="0"/>
          <w:numId w:val="26"/>
        </w:numPr>
      </w:pPr>
      <w:r>
        <w:t>No partnership: The Parties are independent.</w:t>
      </w:r>
    </w:p>
    <w:p w14:paraId="03CF1794" w14:textId="77777777" w:rsidR="006854A4" w:rsidRDefault="006854A4" w:rsidP="00C0697A">
      <w:pPr>
        <w:pStyle w:val="ListParagraph"/>
        <w:numPr>
          <w:ilvl w:val="0"/>
          <w:numId w:val="26"/>
        </w:numPr>
      </w:pPr>
      <w:r>
        <w:t>Assignment: Neither Party may assign without the other Party’s written consent.</w:t>
      </w:r>
    </w:p>
    <w:p w14:paraId="3AC82D55" w14:textId="77777777" w:rsidR="006854A4" w:rsidRDefault="006854A4" w:rsidP="00C0697A">
      <w:pPr>
        <w:pStyle w:val="ListParagraph"/>
        <w:numPr>
          <w:ilvl w:val="0"/>
          <w:numId w:val="26"/>
        </w:numPr>
      </w:pPr>
      <w:r>
        <w:t>Third party rights: No person who is not a Party has any right to enforce any term under the Contracts Rights of Third Parties Act 1999, the Contracts Rights of Third Parties Northern Ireland Order 1999, or the Contract Third Party Rights Scotland Act 2017.</w:t>
      </w:r>
    </w:p>
    <w:p w14:paraId="2C7FE1EF" w14:textId="77777777" w:rsidR="006854A4" w:rsidRDefault="006854A4" w:rsidP="00C0697A">
      <w:pPr>
        <w:pStyle w:val="ListParagraph"/>
        <w:numPr>
          <w:ilvl w:val="0"/>
          <w:numId w:val="26"/>
        </w:numPr>
      </w:pPr>
      <w:r>
        <w:t>Severability: If any term is invalid or unenforceable, the rest remains in force.</w:t>
      </w:r>
    </w:p>
    <w:p w14:paraId="410B4F50" w14:textId="0521E62A" w:rsidR="006854A4" w:rsidRDefault="006854A4" w:rsidP="00C0697A">
      <w:pPr>
        <w:pStyle w:val="ListParagraph"/>
        <w:numPr>
          <w:ilvl w:val="0"/>
          <w:numId w:val="26"/>
        </w:numPr>
      </w:pPr>
      <w:r>
        <w:t>Governing law and jurisdiction: This SLA is governed by the law of England and Wales</w:t>
      </w:r>
      <w:r w:rsidR="003E6E19">
        <w:t xml:space="preserve"> o</w:t>
      </w:r>
      <w:r w:rsidR="0097034A">
        <w:t>r Scotland or Northern Ireland depending on whether the either the Funeral Director trades and/or the supplier trades</w:t>
      </w:r>
      <w:r>
        <w:t xml:space="preserve">. </w:t>
      </w:r>
    </w:p>
    <w:p w14:paraId="2D535643" w14:textId="77777777" w:rsidR="00284A21" w:rsidRDefault="00284A21">
      <w:pPr>
        <w:spacing w:before="120" w:after="0" w:line="240" w:lineRule="auto"/>
        <w:ind w:left="1344" w:hanging="624"/>
        <w:rPr>
          <w:rFonts w:ascii="Helvetica" w:eastAsiaTheme="majorEastAsia" w:hAnsi="Helvetica" w:cs="Times New Roman (Headings CS)"/>
          <w:b/>
          <w:bCs/>
          <w:spacing w:val="80"/>
          <w:kern w:val="28"/>
          <w:sz w:val="36"/>
          <w:szCs w:val="56"/>
        </w:rPr>
      </w:pPr>
      <w:r>
        <w:br w:type="page"/>
      </w:r>
    </w:p>
    <w:p w14:paraId="0F212908" w14:textId="77777777" w:rsidR="003860D8" w:rsidRDefault="003860D8" w:rsidP="00974297">
      <w:pPr>
        <w:pStyle w:val="1Title"/>
        <w:sectPr w:rsidR="003860D8" w:rsidSect="007B781D">
          <w:footerReference w:type="even" r:id="rId11"/>
          <w:footerReference w:type="default" r:id="rId12"/>
          <w:pgSz w:w="11906" w:h="16838"/>
          <w:pgMar w:top="1440" w:right="1080" w:bottom="1440" w:left="1080" w:header="284" w:footer="454" w:gutter="0"/>
          <w:cols w:space="708"/>
          <w:docGrid w:linePitch="360"/>
        </w:sectPr>
      </w:pPr>
    </w:p>
    <w:p w14:paraId="69EE8075" w14:textId="27C78C05" w:rsidR="006854A4" w:rsidRDefault="006854A4" w:rsidP="00974297">
      <w:pPr>
        <w:pStyle w:val="1Title"/>
      </w:pPr>
      <w:r>
        <w:lastRenderedPageBreak/>
        <w:t>Schedule 1: Services</w:t>
      </w:r>
    </w:p>
    <w:p w14:paraId="2318BBC7" w14:textId="77777777" w:rsidR="00974297" w:rsidRDefault="00974297" w:rsidP="00974297">
      <w:pPr>
        <w:pStyle w:val="1Title"/>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21"/>
        <w:gridCol w:w="9407"/>
      </w:tblGrid>
      <w:tr w:rsidR="006854A4" w14:paraId="2167EBA4" w14:textId="77777777" w:rsidTr="006D521D">
        <w:tc>
          <w:tcPr>
            <w:tcW w:w="1623" w:type="pct"/>
            <w:vAlign w:val="center"/>
          </w:tcPr>
          <w:p w14:paraId="7DC304E2" w14:textId="77777777" w:rsidR="006854A4" w:rsidRPr="00970268" w:rsidRDefault="006854A4" w:rsidP="003860D8">
            <w:pPr>
              <w:rPr>
                <w:b/>
                <w:bCs/>
              </w:rPr>
            </w:pPr>
            <w:r w:rsidRPr="00970268">
              <w:rPr>
                <w:b/>
                <w:bCs/>
              </w:rPr>
              <w:t>Service description</w:t>
            </w:r>
          </w:p>
        </w:tc>
        <w:tc>
          <w:tcPr>
            <w:tcW w:w="3377" w:type="pct"/>
          </w:tcPr>
          <w:p w14:paraId="71EAE829" w14:textId="77777777" w:rsidR="00067D80" w:rsidRDefault="00067D80" w:rsidP="008313E2"/>
          <w:p w14:paraId="3C97A825" w14:textId="77777777" w:rsidR="003860D8" w:rsidRDefault="003860D8" w:rsidP="008313E2"/>
          <w:p w14:paraId="0F354571" w14:textId="77777777" w:rsidR="003860D8" w:rsidRDefault="003860D8" w:rsidP="008313E2"/>
          <w:p w14:paraId="3D9F4006" w14:textId="77777777" w:rsidR="003860D8" w:rsidRDefault="003860D8" w:rsidP="008313E2"/>
        </w:tc>
      </w:tr>
      <w:tr w:rsidR="006854A4" w14:paraId="7C42EC8B" w14:textId="77777777" w:rsidTr="006D521D">
        <w:tc>
          <w:tcPr>
            <w:tcW w:w="1623" w:type="pct"/>
            <w:vAlign w:val="center"/>
          </w:tcPr>
          <w:p w14:paraId="2AC7B4AB" w14:textId="77777777" w:rsidR="006854A4" w:rsidRPr="00970268" w:rsidRDefault="006854A4" w:rsidP="003860D8">
            <w:pPr>
              <w:rPr>
                <w:b/>
                <w:bCs/>
              </w:rPr>
            </w:pPr>
            <w:r w:rsidRPr="00970268">
              <w:rPr>
                <w:b/>
                <w:bCs/>
              </w:rPr>
              <w:t>Locations</w:t>
            </w:r>
          </w:p>
        </w:tc>
        <w:tc>
          <w:tcPr>
            <w:tcW w:w="3377" w:type="pct"/>
          </w:tcPr>
          <w:p w14:paraId="1BE2E623" w14:textId="77777777" w:rsidR="006854A4" w:rsidRDefault="006854A4" w:rsidP="008313E2"/>
          <w:p w14:paraId="218D1A88" w14:textId="77777777" w:rsidR="003860D8" w:rsidRDefault="003860D8" w:rsidP="008313E2"/>
          <w:p w14:paraId="491DBE29" w14:textId="77777777" w:rsidR="003860D8" w:rsidRDefault="003860D8" w:rsidP="008313E2"/>
          <w:p w14:paraId="4A6ABF8A" w14:textId="77777777" w:rsidR="003860D8" w:rsidRDefault="003860D8" w:rsidP="008313E2"/>
        </w:tc>
      </w:tr>
      <w:tr w:rsidR="006854A4" w14:paraId="278ECE98" w14:textId="77777777" w:rsidTr="006D521D">
        <w:tc>
          <w:tcPr>
            <w:tcW w:w="1623" w:type="pct"/>
            <w:vAlign w:val="center"/>
          </w:tcPr>
          <w:p w14:paraId="2E79816A" w14:textId="77777777" w:rsidR="006854A4" w:rsidRPr="00970268" w:rsidRDefault="006854A4" w:rsidP="003860D8">
            <w:pPr>
              <w:rPr>
                <w:b/>
                <w:bCs/>
              </w:rPr>
            </w:pPr>
            <w:r w:rsidRPr="00970268">
              <w:rPr>
                <w:b/>
                <w:bCs/>
              </w:rPr>
              <w:t>Days and hours</w:t>
            </w:r>
          </w:p>
        </w:tc>
        <w:tc>
          <w:tcPr>
            <w:tcW w:w="3377" w:type="pct"/>
          </w:tcPr>
          <w:p w14:paraId="06668F29" w14:textId="77777777" w:rsidR="003860D8" w:rsidRDefault="003860D8" w:rsidP="008313E2"/>
        </w:tc>
      </w:tr>
      <w:tr w:rsidR="006854A4" w14:paraId="4BF7E52D" w14:textId="77777777" w:rsidTr="006D521D">
        <w:tc>
          <w:tcPr>
            <w:tcW w:w="1623" w:type="pct"/>
            <w:vAlign w:val="center"/>
          </w:tcPr>
          <w:p w14:paraId="2C9867A0" w14:textId="77777777" w:rsidR="006854A4" w:rsidRPr="00970268" w:rsidRDefault="006854A4" w:rsidP="003860D8">
            <w:pPr>
              <w:rPr>
                <w:b/>
                <w:bCs/>
              </w:rPr>
            </w:pPr>
            <w:r w:rsidRPr="00970268">
              <w:rPr>
                <w:b/>
                <w:bCs/>
              </w:rPr>
              <w:t>Expected notice period</w:t>
            </w:r>
          </w:p>
        </w:tc>
        <w:tc>
          <w:tcPr>
            <w:tcW w:w="3377" w:type="pct"/>
          </w:tcPr>
          <w:p w14:paraId="6DCC26C2" w14:textId="77777777" w:rsidR="003860D8" w:rsidRDefault="003860D8" w:rsidP="008313E2"/>
        </w:tc>
      </w:tr>
      <w:tr w:rsidR="006854A4" w14:paraId="051FC510" w14:textId="77777777" w:rsidTr="006D521D">
        <w:tc>
          <w:tcPr>
            <w:tcW w:w="1623" w:type="pct"/>
            <w:vAlign w:val="center"/>
          </w:tcPr>
          <w:p w14:paraId="001FBD34" w14:textId="77777777" w:rsidR="006854A4" w:rsidRPr="00970268" w:rsidRDefault="006854A4" w:rsidP="003860D8">
            <w:pPr>
              <w:rPr>
                <w:b/>
                <w:bCs/>
              </w:rPr>
            </w:pPr>
            <w:r w:rsidRPr="00970268">
              <w:rPr>
                <w:b/>
                <w:bCs/>
              </w:rPr>
              <w:t>Deliverables and records required</w:t>
            </w:r>
          </w:p>
        </w:tc>
        <w:tc>
          <w:tcPr>
            <w:tcW w:w="3377" w:type="pct"/>
          </w:tcPr>
          <w:p w14:paraId="67574300" w14:textId="77777777" w:rsidR="006854A4" w:rsidRDefault="006854A4" w:rsidP="008313E2"/>
          <w:p w14:paraId="6977BB2E" w14:textId="77777777" w:rsidR="003860D8" w:rsidRDefault="003860D8" w:rsidP="008313E2"/>
          <w:p w14:paraId="5CAA1CCD" w14:textId="77777777" w:rsidR="003860D8" w:rsidRDefault="003860D8" w:rsidP="008313E2"/>
        </w:tc>
      </w:tr>
      <w:tr w:rsidR="006854A4" w14:paraId="360E106B" w14:textId="77777777" w:rsidTr="006D521D">
        <w:tc>
          <w:tcPr>
            <w:tcW w:w="1623" w:type="pct"/>
            <w:vAlign w:val="center"/>
          </w:tcPr>
          <w:p w14:paraId="2ED7977C" w14:textId="77777777" w:rsidR="006854A4" w:rsidRPr="00970268" w:rsidRDefault="006854A4" w:rsidP="003860D8">
            <w:pPr>
              <w:rPr>
                <w:b/>
                <w:bCs/>
              </w:rPr>
            </w:pPr>
            <w:r w:rsidRPr="00970268">
              <w:rPr>
                <w:b/>
                <w:bCs/>
              </w:rPr>
              <w:t>Special requirements or controls</w:t>
            </w:r>
          </w:p>
        </w:tc>
        <w:tc>
          <w:tcPr>
            <w:tcW w:w="3377" w:type="pct"/>
          </w:tcPr>
          <w:p w14:paraId="3D16D09D" w14:textId="77777777" w:rsidR="003860D8" w:rsidRDefault="003860D8" w:rsidP="008313E2"/>
          <w:p w14:paraId="14147F1C" w14:textId="77777777" w:rsidR="003860D8" w:rsidRDefault="003860D8" w:rsidP="008313E2"/>
          <w:p w14:paraId="1FDB2B05" w14:textId="77777777" w:rsidR="003860D8" w:rsidRDefault="003860D8" w:rsidP="008313E2"/>
        </w:tc>
      </w:tr>
    </w:tbl>
    <w:p w14:paraId="78A182D1" w14:textId="77777777" w:rsidR="00B8311E" w:rsidRDefault="00B8311E">
      <w:pPr>
        <w:spacing w:before="120" w:after="0" w:line="240" w:lineRule="auto"/>
        <w:ind w:left="1344" w:hanging="624"/>
        <w:rPr>
          <w:rFonts w:eastAsiaTheme="majorEastAsia" w:cstheme="majorBidi"/>
          <w:i/>
          <w:color w:val="000000" w:themeColor="text1"/>
          <w:szCs w:val="32"/>
        </w:rPr>
      </w:pPr>
      <w:r>
        <w:br w:type="page"/>
      </w:r>
    </w:p>
    <w:p w14:paraId="5498BC26" w14:textId="01903AEA" w:rsidR="006854A4" w:rsidRDefault="006854A4" w:rsidP="00E9071D">
      <w:pPr>
        <w:pStyle w:val="1Title"/>
      </w:pPr>
      <w:r>
        <w:lastRenderedPageBreak/>
        <w:t xml:space="preserve">Schedule 2: Service </w:t>
      </w:r>
      <w:r w:rsidR="000C3CE2">
        <w:t>L</w:t>
      </w:r>
      <w:r>
        <w:t xml:space="preserve">evels and </w:t>
      </w:r>
      <w:r w:rsidR="00E9071D">
        <w:t>R</w:t>
      </w:r>
      <w:r>
        <w:t>emedies</w:t>
      </w:r>
    </w:p>
    <w:p w14:paraId="240652AE" w14:textId="77777777" w:rsidR="00E9071D" w:rsidRDefault="00E9071D" w:rsidP="00E9071D">
      <w:pPr>
        <w:pStyle w:val="1Title"/>
      </w:pPr>
    </w:p>
    <w:p w14:paraId="0C70726F" w14:textId="77777777" w:rsidR="00E9071D" w:rsidRDefault="00E9071D" w:rsidP="00E9071D">
      <w:pPr>
        <w:pStyle w:val="1Title"/>
      </w:pPr>
    </w:p>
    <w:tbl>
      <w:tblPr>
        <w:tblStyle w:val="TableGrid"/>
        <w:tblpPr w:leftFromText="180" w:rightFromText="180" w:vertAnchor="page" w:horzAnchor="margin" w:tblpY="239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482"/>
        <w:gridCol w:w="3482"/>
        <w:gridCol w:w="3482"/>
        <w:gridCol w:w="3482"/>
      </w:tblGrid>
      <w:tr w:rsidR="006854A4" w14:paraId="25727602" w14:textId="77777777" w:rsidTr="00970268">
        <w:tc>
          <w:tcPr>
            <w:tcW w:w="3482" w:type="dxa"/>
          </w:tcPr>
          <w:p w14:paraId="0276F180" w14:textId="77777777" w:rsidR="006854A4" w:rsidRPr="00970268" w:rsidRDefault="006854A4" w:rsidP="00970268">
            <w:pPr>
              <w:jc w:val="center"/>
              <w:rPr>
                <w:b/>
                <w:bCs/>
              </w:rPr>
            </w:pPr>
            <w:r w:rsidRPr="00970268">
              <w:rPr>
                <w:b/>
                <w:bCs/>
              </w:rPr>
              <w:t>KPI name</w:t>
            </w:r>
          </w:p>
        </w:tc>
        <w:tc>
          <w:tcPr>
            <w:tcW w:w="3482" w:type="dxa"/>
          </w:tcPr>
          <w:p w14:paraId="281B59FF" w14:textId="77777777" w:rsidR="006854A4" w:rsidRPr="00970268" w:rsidRDefault="006854A4" w:rsidP="00970268">
            <w:pPr>
              <w:jc w:val="center"/>
              <w:rPr>
                <w:b/>
                <w:bCs/>
              </w:rPr>
            </w:pPr>
            <w:r w:rsidRPr="00970268">
              <w:rPr>
                <w:b/>
                <w:bCs/>
              </w:rPr>
              <w:t>Target</w:t>
            </w:r>
          </w:p>
        </w:tc>
        <w:tc>
          <w:tcPr>
            <w:tcW w:w="3482" w:type="dxa"/>
          </w:tcPr>
          <w:p w14:paraId="3C5862B5" w14:textId="77777777" w:rsidR="006854A4" w:rsidRPr="00970268" w:rsidRDefault="006854A4" w:rsidP="00970268">
            <w:pPr>
              <w:jc w:val="center"/>
              <w:rPr>
                <w:b/>
                <w:bCs/>
              </w:rPr>
            </w:pPr>
            <w:r w:rsidRPr="00970268">
              <w:rPr>
                <w:b/>
                <w:bCs/>
              </w:rPr>
              <w:t>Measurement method and data source</w:t>
            </w:r>
          </w:p>
        </w:tc>
        <w:tc>
          <w:tcPr>
            <w:tcW w:w="3482" w:type="dxa"/>
          </w:tcPr>
          <w:p w14:paraId="25CF86C8" w14:textId="77777777" w:rsidR="006854A4" w:rsidRPr="00970268" w:rsidRDefault="006854A4" w:rsidP="00970268">
            <w:pPr>
              <w:jc w:val="center"/>
              <w:rPr>
                <w:b/>
                <w:bCs/>
              </w:rPr>
            </w:pPr>
            <w:r w:rsidRPr="00970268">
              <w:rPr>
                <w:b/>
                <w:bCs/>
              </w:rPr>
              <w:t>Service credit or other remedy</w:t>
            </w:r>
          </w:p>
        </w:tc>
      </w:tr>
      <w:tr w:rsidR="006854A4" w14:paraId="1C1F97AE" w14:textId="77777777" w:rsidTr="00970268">
        <w:tc>
          <w:tcPr>
            <w:tcW w:w="3482" w:type="dxa"/>
          </w:tcPr>
          <w:p w14:paraId="4E7EB429" w14:textId="77777777" w:rsidR="006854A4" w:rsidRDefault="006854A4" w:rsidP="00970268"/>
          <w:p w14:paraId="3325EBEA" w14:textId="77777777" w:rsidR="006D521D" w:rsidRDefault="006D521D" w:rsidP="00970268"/>
        </w:tc>
        <w:tc>
          <w:tcPr>
            <w:tcW w:w="3482" w:type="dxa"/>
          </w:tcPr>
          <w:p w14:paraId="50D84AE5" w14:textId="77777777" w:rsidR="006854A4" w:rsidRDefault="006854A4" w:rsidP="00970268"/>
        </w:tc>
        <w:tc>
          <w:tcPr>
            <w:tcW w:w="3482" w:type="dxa"/>
          </w:tcPr>
          <w:p w14:paraId="14BE19B2" w14:textId="77777777" w:rsidR="006854A4" w:rsidRDefault="006854A4" w:rsidP="00970268"/>
        </w:tc>
        <w:tc>
          <w:tcPr>
            <w:tcW w:w="3482" w:type="dxa"/>
          </w:tcPr>
          <w:p w14:paraId="5BEC87B8" w14:textId="77777777" w:rsidR="006854A4" w:rsidRDefault="006854A4" w:rsidP="00970268"/>
        </w:tc>
      </w:tr>
      <w:tr w:rsidR="006854A4" w14:paraId="1058575E" w14:textId="77777777" w:rsidTr="00970268">
        <w:tc>
          <w:tcPr>
            <w:tcW w:w="3482" w:type="dxa"/>
          </w:tcPr>
          <w:p w14:paraId="3D4A7F23" w14:textId="77777777" w:rsidR="006854A4" w:rsidRDefault="006854A4" w:rsidP="00970268"/>
          <w:p w14:paraId="030AAF07" w14:textId="77777777" w:rsidR="006D521D" w:rsidRDefault="006D521D" w:rsidP="00970268"/>
        </w:tc>
        <w:tc>
          <w:tcPr>
            <w:tcW w:w="3482" w:type="dxa"/>
          </w:tcPr>
          <w:p w14:paraId="4BE95797" w14:textId="77777777" w:rsidR="006854A4" w:rsidRDefault="006854A4" w:rsidP="00970268"/>
        </w:tc>
        <w:tc>
          <w:tcPr>
            <w:tcW w:w="3482" w:type="dxa"/>
          </w:tcPr>
          <w:p w14:paraId="51D2109A" w14:textId="77777777" w:rsidR="006854A4" w:rsidRDefault="006854A4" w:rsidP="00970268"/>
        </w:tc>
        <w:tc>
          <w:tcPr>
            <w:tcW w:w="3482" w:type="dxa"/>
          </w:tcPr>
          <w:p w14:paraId="02D3BF23" w14:textId="77777777" w:rsidR="006854A4" w:rsidRDefault="006854A4" w:rsidP="00970268"/>
        </w:tc>
      </w:tr>
      <w:tr w:rsidR="006854A4" w14:paraId="5E1A91E7" w14:textId="77777777" w:rsidTr="00970268">
        <w:tc>
          <w:tcPr>
            <w:tcW w:w="3482" w:type="dxa"/>
          </w:tcPr>
          <w:p w14:paraId="02A1EFF3" w14:textId="77777777" w:rsidR="006854A4" w:rsidRDefault="006854A4" w:rsidP="00970268"/>
          <w:p w14:paraId="281C66BA" w14:textId="77777777" w:rsidR="006D521D" w:rsidRDefault="006D521D" w:rsidP="00970268"/>
        </w:tc>
        <w:tc>
          <w:tcPr>
            <w:tcW w:w="3482" w:type="dxa"/>
          </w:tcPr>
          <w:p w14:paraId="649DB32D" w14:textId="77777777" w:rsidR="006854A4" w:rsidRDefault="006854A4" w:rsidP="00970268"/>
        </w:tc>
        <w:tc>
          <w:tcPr>
            <w:tcW w:w="3482" w:type="dxa"/>
          </w:tcPr>
          <w:p w14:paraId="10EFBBBD" w14:textId="77777777" w:rsidR="006854A4" w:rsidRDefault="006854A4" w:rsidP="00970268"/>
        </w:tc>
        <w:tc>
          <w:tcPr>
            <w:tcW w:w="3482" w:type="dxa"/>
          </w:tcPr>
          <w:p w14:paraId="5801F4D6" w14:textId="77777777" w:rsidR="006854A4" w:rsidRDefault="006854A4" w:rsidP="00970268"/>
        </w:tc>
      </w:tr>
      <w:tr w:rsidR="006854A4" w14:paraId="2E0C680C" w14:textId="77777777" w:rsidTr="00970268">
        <w:tc>
          <w:tcPr>
            <w:tcW w:w="3482" w:type="dxa"/>
          </w:tcPr>
          <w:p w14:paraId="34BBFB3D" w14:textId="77777777" w:rsidR="006854A4" w:rsidRDefault="006854A4" w:rsidP="00970268"/>
          <w:p w14:paraId="3C5C34CB" w14:textId="77777777" w:rsidR="006D521D" w:rsidRDefault="006D521D" w:rsidP="00970268"/>
        </w:tc>
        <w:tc>
          <w:tcPr>
            <w:tcW w:w="3482" w:type="dxa"/>
          </w:tcPr>
          <w:p w14:paraId="38621C79" w14:textId="77777777" w:rsidR="006854A4" w:rsidRDefault="006854A4" w:rsidP="00970268"/>
        </w:tc>
        <w:tc>
          <w:tcPr>
            <w:tcW w:w="3482" w:type="dxa"/>
          </w:tcPr>
          <w:p w14:paraId="26EB27CC" w14:textId="77777777" w:rsidR="006854A4" w:rsidRDefault="006854A4" w:rsidP="00970268"/>
        </w:tc>
        <w:tc>
          <w:tcPr>
            <w:tcW w:w="3482" w:type="dxa"/>
          </w:tcPr>
          <w:p w14:paraId="26628EC8" w14:textId="77777777" w:rsidR="006854A4" w:rsidRDefault="006854A4" w:rsidP="00970268"/>
        </w:tc>
      </w:tr>
      <w:tr w:rsidR="006854A4" w14:paraId="2E827C25" w14:textId="77777777" w:rsidTr="00970268">
        <w:tc>
          <w:tcPr>
            <w:tcW w:w="3482" w:type="dxa"/>
          </w:tcPr>
          <w:p w14:paraId="29439A95" w14:textId="77777777" w:rsidR="006854A4" w:rsidRDefault="006854A4" w:rsidP="00970268"/>
          <w:p w14:paraId="2D006296" w14:textId="77777777" w:rsidR="006D521D" w:rsidRDefault="006D521D" w:rsidP="00970268"/>
        </w:tc>
        <w:tc>
          <w:tcPr>
            <w:tcW w:w="3482" w:type="dxa"/>
          </w:tcPr>
          <w:p w14:paraId="02D2E040" w14:textId="77777777" w:rsidR="006854A4" w:rsidRDefault="006854A4" w:rsidP="00970268"/>
        </w:tc>
        <w:tc>
          <w:tcPr>
            <w:tcW w:w="3482" w:type="dxa"/>
          </w:tcPr>
          <w:p w14:paraId="6EF19CDD" w14:textId="77777777" w:rsidR="006854A4" w:rsidRDefault="006854A4" w:rsidP="00970268"/>
        </w:tc>
        <w:tc>
          <w:tcPr>
            <w:tcW w:w="3482" w:type="dxa"/>
          </w:tcPr>
          <w:p w14:paraId="461BAB2B" w14:textId="77777777" w:rsidR="006854A4" w:rsidRDefault="006854A4" w:rsidP="00970268"/>
        </w:tc>
      </w:tr>
    </w:tbl>
    <w:p w14:paraId="71E737DF" w14:textId="77777777" w:rsidR="00C21A3A" w:rsidRDefault="00C21A3A" w:rsidP="006854A4">
      <w:pPr>
        <w:pStyle w:val="Heading2"/>
      </w:pPr>
    </w:p>
    <w:p w14:paraId="067E05D2" w14:textId="77777777" w:rsidR="00C21A3A" w:rsidRDefault="00C21A3A">
      <w:pPr>
        <w:spacing w:before="120" w:after="0" w:line="240" w:lineRule="auto"/>
        <w:ind w:left="1344" w:hanging="624"/>
        <w:rPr>
          <w:rFonts w:eastAsiaTheme="majorEastAsia" w:cstheme="majorBidi"/>
          <w:i/>
          <w:color w:val="000000" w:themeColor="text1"/>
          <w:szCs w:val="32"/>
        </w:rPr>
      </w:pPr>
      <w:r>
        <w:br w:type="page"/>
      </w:r>
    </w:p>
    <w:p w14:paraId="5EE16404" w14:textId="7ED71E77" w:rsidR="006854A4" w:rsidRDefault="006854A4" w:rsidP="006D521D">
      <w:pPr>
        <w:pStyle w:val="1Title"/>
      </w:pPr>
      <w:r>
        <w:lastRenderedPageBreak/>
        <w:t xml:space="preserve">Schedule 3: Pricing and </w:t>
      </w:r>
      <w:r w:rsidR="006D521D">
        <w:t>E</w:t>
      </w:r>
      <w:r>
        <w:t>xpenses</w:t>
      </w:r>
    </w:p>
    <w:p w14:paraId="52E47B08" w14:textId="77777777" w:rsidR="006D521D" w:rsidRDefault="006D521D" w:rsidP="006D521D">
      <w:pPr>
        <w:pStyle w:val="1Title"/>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64"/>
        <w:gridCol w:w="6964"/>
      </w:tblGrid>
      <w:tr w:rsidR="006854A4" w14:paraId="47A93E1E" w14:textId="77777777" w:rsidTr="009B498C">
        <w:tc>
          <w:tcPr>
            <w:tcW w:w="2500" w:type="pct"/>
          </w:tcPr>
          <w:p w14:paraId="07C6DFB9" w14:textId="77777777" w:rsidR="006854A4" w:rsidRDefault="006854A4" w:rsidP="008313E2">
            <w:r>
              <w:t>Rates and fees</w:t>
            </w:r>
          </w:p>
        </w:tc>
        <w:tc>
          <w:tcPr>
            <w:tcW w:w="2500" w:type="pct"/>
          </w:tcPr>
          <w:p w14:paraId="73816FC1" w14:textId="77777777" w:rsidR="006854A4" w:rsidRDefault="006854A4" w:rsidP="008313E2"/>
        </w:tc>
      </w:tr>
      <w:tr w:rsidR="006854A4" w14:paraId="2B3726D5" w14:textId="77777777" w:rsidTr="009B498C">
        <w:tc>
          <w:tcPr>
            <w:tcW w:w="2500" w:type="pct"/>
          </w:tcPr>
          <w:p w14:paraId="42C0DA3E" w14:textId="77777777" w:rsidR="006854A4" w:rsidRDefault="006854A4" w:rsidP="008313E2">
            <w:r>
              <w:t>Out of hours uplift</w:t>
            </w:r>
          </w:p>
        </w:tc>
        <w:tc>
          <w:tcPr>
            <w:tcW w:w="2500" w:type="pct"/>
          </w:tcPr>
          <w:p w14:paraId="7B815217" w14:textId="77777777" w:rsidR="006854A4" w:rsidRDefault="006854A4" w:rsidP="008313E2"/>
        </w:tc>
      </w:tr>
      <w:tr w:rsidR="006854A4" w14:paraId="2541B17C" w14:textId="77777777" w:rsidTr="009B498C">
        <w:tc>
          <w:tcPr>
            <w:tcW w:w="2500" w:type="pct"/>
          </w:tcPr>
          <w:p w14:paraId="7DD97132" w14:textId="77777777" w:rsidR="006854A4" w:rsidRDefault="006854A4" w:rsidP="008313E2">
            <w:r>
              <w:t>Mileage and expenses policy</w:t>
            </w:r>
          </w:p>
        </w:tc>
        <w:tc>
          <w:tcPr>
            <w:tcW w:w="2500" w:type="pct"/>
          </w:tcPr>
          <w:p w14:paraId="19D897BB" w14:textId="77777777" w:rsidR="006854A4" w:rsidRDefault="006854A4" w:rsidP="008313E2"/>
        </w:tc>
      </w:tr>
      <w:tr w:rsidR="006854A4" w14:paraId="0A9BB854" w14:textId="77777777" w:rsidTr="009B498C">
        <w:tc>
          <w:tcPr>
            <w:tcW w:w="2500" w:type="pct"/>
          </w:tcPr>
          <w:p w14:paraId="64429FA3" w14:textId="77777777" w:rsidR="006854A4" w:rsidRDefault="006854A4" w:rsidP="008313E2">
            <w:r>
              <w:t>Cancellation and short notice change rules</w:t>
            </w:r>
          </w:p>
        </w:tc>
        <w:tc>
          <w:tcPr>
            <w:tcW w:w="2500" w:type="pct"/>
          </w:tcPr>
          <w:p w14:paraId="6AF315E4" w14:textId="77777777" w:rsidR="006854A4" w:rsidRDefault="006854A4" w:rsidP="008313E2"/>
        </w:tc>
      </w:tr>
      <w:tr w:rsidR="006854A4" w14:paraId="69D0126D" w14:textId="77777777" w:rsidTr="009B498C">
        <w:tc>
          <w:tcPr>
            <w:tcW w:w="2500" w:type="pct"/>
          </w:tcPr>
          <w:p w14:paraId="12FB2298" w14:textId="77777777" w:rsidR="006854A4" w:rsidRDefault="006854A4" w:rsidP="008313E2">
            <w:r>
              <w:t>Invoicing method and timing</w:t>
            </w:r>
          </w:p>
        </w:tc>
        <w:tc>
          <w:tcPr>
            <w:tcW w:w="2500" w:type="pct"/>
          </w:tcPr>
          <w:p w14:paraId="476ADDE9" w14:textId="77777777" w:rsidR="006854A4" w:rsidRDefault="006854A4" w:rsidP="008313E2"/>
        </w:tc>
      </w:tr>
    </w:tbl>
    <w:p w14:paraId="68EF7DB5" w14:textId="77777777" w:rsidR="00C21A3A" w:rsidRDefault="00C21A3A" w:rsidP="006854A4">
      <w:pPr>
        <w:pStyle w:val="Heading2"/>
      </w:pPr>
    </w:p>
    <w:p w14:paraId="5E83CC4B" w14:textId="77777777" w:rsidR="00C21A3A" w:rsidRDefault="00C21A3A">
      <w:pPr>
        <w:spacing w:before="120" w:after="0" w:line="240" w:lineRule="auto"/>
        <w:ind w:left="1344" w:hanging="624"/>
        <w:rPr>
          <w:rFonts w:eastAsiaTheme="majorEastAsia" w:cstheme="majorBidi"/>
          <w:i/>
          <w:color w:val="000000" w:themeColor="text1"/>
          <w:szCs w:val="32"/>
        </w:rPr>
      </w:pPr>
      <w:r>
        <w:br w:type="page"/>
      </w:r>
    </w:p>
    <w:p w14:paraId="6E5FD72E" w14:textId="2F23296C" w:rsidR="006854A4" w:rsidRDefault="006854A4" w:rsidP="00923A98">
      <w:pPr>
        <w:pStyle w:val="1Title"/>
      </w:pPr>
      <w:r>
        <w:lastRenderedPageBreak/>
        <w:t xml:space="preserve">Schedule 4: Records and </w:t>
      </w:r>
      <w:r w:rsidR="00923A98">
        <w:t>R</w:t>
      </w:r>
      <w:r>
        <w:t>etention</w:t>
      </w:r>
    </w:p>
    <w:p w14:paraId="3CA35A59" w14:textId="77777777" w:rsidR="00923A98" w:rsidRDefault="00923A98" w:rsidP="00923A98">
      <w:pPr>
        <w:pStyle w:val="1Title"/>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43"/>
        <w:gridCol w:w="4644"/>
        <w:gridCol w:w="4641"/>
      </w:tblGrid>
      <w:tr w:rsidR="006854A4" w14:paraId="5BCE0A63" w14:textId="77777777" w:rsidTr="00923A98">
        <w:tc>
          <w:tcPr>
            <w:tcW w:w="1667" w:type="pct"/>
          </w:tcPr>
          <w:p w14:paraId="6DCEFC04" w14:textId="77777777" w:rsidR="006854A4" w:rsidRDefault="006854A4" w:rsidP="008313E2">
            <w:r>
              <w:t>Record type</w:t>
            </w:r>
          </w:p>
        </w:tc>
        <w:tc>
          <w:tcPr>
            <w:tcW w:w="1667" w:type="pct"/>
          </w:tcPr>
          <w:p w14:paraId="38A70C7B" w14:textId="77777777" w:rsidR="006854A4" w:rsidRDefault="006854A4" w:rsidP="008313E2">
            <w:r>
              <w:t>How to submit to the Funeral Director</w:t>
            </w:r>
          </w:p>
        </w:tc>
        <w:tc>
          <w:tcPr>
            <w:tcW w:w="1667" w:type="pct"/>
          </w:tcPr>
          <w:p w14:paraId="7B969B3A" w14:textId="77777777" w:rsidR="006854A4" w:rsidRDefault="006854A4" w:rsidP="008313E2">
            <w:r>
              <w:t>Retention period</w:t>
            </w:r>
          </w:p>
        </w:tc>
      </w:tr>
      <w:tr w:rsidR="006854A4" w14:paraId="36C8E511" w14:textId="77777777" w:rsidTr="00923A98">
        <w:tc>
          <w:tcPr>
            <w:tcW w:w="1667" w:type="pct"/>
          </w:tcPr>
          <w:p w14:paraId="0A715DCC" w14:textId="77777777" w:rsidR="006854A4" w:rsidRDefault="006854A4" w:rsidP="008313E2"/>
        </w:tc>
        <w:tc>
          <w:tcPr>
            <w:tcW w:w="1667" w:type="pct"/>
          </w:tcPr>
          <w:p w14:paraId="3A2808D1" w14:textId="77777777" w:rsidR="006854A4" w:rsidRDefault="006854A4" w:rsidP="008313E2"/>
        </w:tc>
        <w:tc>
          <w:tcPr>
            <w:tcW w:w="1667" w:type="pct"/>
          </w:tcPr>
          <w:p w14:paraId="2CE70C20" w14:textId="77777777" w:rsidR="006854A4" w:rsidRDefault="006854A4" w:rsidP="008313E2"/>
        </w:tc>
      </w:tr>
      <w:tr w:rsidR="006854A4" w14:paraId="7C4688FF" w14:textId="77777777" w:rsidTr="00923A98">
        <w:tc>
          <w:tcPr>
            <w:tcW w:w="1667" w:type="pct"/>
          </w:tcPr>
          <w:p w14:paraId="540894EA" w14:textId="77777777" w:rsidR="006854A4" w:rsidRDefault="006854A4" w:rsidP="008313E2"/>
        </w:tc>
        <w:tc>
          <w:tcPr>
            <w:tcW w:w="1667" w:type="pct"/>
          </w:tcPr>
          <w:p w14:paraId="6845C9BE" w14:textId="77777777" w:rsidR="006854A4" w:rsidRDefault="006854A4" w:rsidP="008313E2"/>
        </w:tc>
        <w:tc>
          <w:tcPr>
            <w:tcW w:w="1667" w:type="pct"/>
          </w:tcPr>
          <w:p w14:paraId="58597E13" w14:textId="77777777" w:rsidR="006854A4" w:rsidRDefault="006854A4" w:rsidP="008313E2"/>
        </w:tc>
      </w:tr>
      <w:tr w:rsidR="006854A4" w14:paraId="43CE4CC7" w14:textId="77777777" w:rsidTr="00923A98">
        <w:tc>
          <w:tcPr>
            <w:tcW w:w="1667" w:type="pct"/>
          </w:tcPr>
          <w:p w14:paraId="3902A6A2" w14:textId="77777777" w:rsidR="006854A4" w:rsidRDefault="006854A4" w:rsidP="008313E2"/>
        </w:tc>
        <w:tc>
          <w:tcPr>
            <w:tcW w:w="1667" w:type="pct"/>
          </w:tcPr>
          <w:p w14:paraId="35BF6267" w14:textId="77777777" w:rsidR="006854A4" w:rsidRDefault="006854A4" w:rsidP="008313E2"/>
        </w:tc>
        <w:tc>
          <w:tcPr>
            <w:tcW w:w="1667" w:type="pct"/>
          </w:tcPr>
          <w:p w14:paraId="0A2EE330" w14:textId="77777777" w:rsidR="006854A4" w:rsidRDefault="006854A4" w:rsidP="008313E2"/>
        </w:tc>
      </w:tr>
      <w:tr w:rsidR="006854A4" w14:paraId="2A1E8E34" w14:textId="77777777" w:rsidTr="00923A98">
        <w:tc>
          <w:tcPr>
            <w:tcW w:w="1667" w:type="pct"/>
          </w:tcPr>
          <w:p w14:paraId="5C644BCD" w14:textId="77777777" w:rsidR="006854A4" w:rsidRDefault="006854A4" w:rsidP="008313E2"/>
        </w:tc>
        <w:tc>
          <w:tcPr>
            <w:tcW w:w="1667" w:type="pct"/>
          </w:tcPr>
          <w:p w14:paraId="0EBCEBB1" w14:textId="77777777" w:rsidR="006854A4" w:rsidRDefault="006854A4" w:rsidP="008313E2"/>
        </w:tc>
        <w:tc>
          <w:tcPr>
            <w:tcW w:w="1667" w:type="pct"/>
          </w:tcPr>
          <w:p w14:paraId="00AA8E37" w14:textId="77777777" w:rsidR="006854A4" w:rsidRDefault="006854A4" w:rsidP="008313E2"/>
        </w:tc>
      </w:tr>
    </w:tbl>
    <w:p w14:paraId="403FE2E9" w14:textId="77777777" w:rsidR="00C21A3A" w:rsidRDefault="00C21A3A" w:rsidP="006854A4">
      <w:pPr>
        <w:pStyle w:val="Heading2"/>
      </w:pPr>
    </w:p>
    <w:p w14:paraId="4C4C3B6A" w14:textId="77777777" w:rsidR="00C21A3A" w:rsidRDefault="00C21A3A">
      <w:pPr>
        <w:spacing w:before="120" w:after="0" w:line="240" w:lineRule="auto"/>
        <w:ind w:left="1344" w:hanging="624"/>
        <w:rPr>
          <w:rFonts w:eastAsiaTheme="majorEastAsia" w:cstheme="majorBidi"/>
          <w:i/>
          <w:color w:val="000000" w:themeColor="text1"/>
          <w:szCs w:val="32"/>
        </w:rPr>
      </w:pPr>
      <w:r>
        <w:br w:type="page"/>
      </w:r>
    </w:p>
    <w:p w14:paraId="71421989" w14:textId="6DF0DC9C" w:rsidR="006854A4" w:rsidRDefault="006854A4" w:rsidP="00923A98">
      <w:pPr>
        <w:pStyle w:val="1Title"/>
      </w:pPr>
      <w:r>
        <w:lastRenderedPageBreak/>
        <w:t>Schedule 5: Contacts</w:t>
      </w:r>
    </w:p>
    <w:p w14:paraId="5F8A5321" w14:textId="77777777" w:rsidR="00923A98" w:rsidRDefault="00923A98" w:rsidP="00923A98">
      <w:pPr>
        <w:pStyle w:val="1Title"/>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64"/>
        <w:gridCol w:w="6964"/>
      </w:tblGrid>
      <w:tr w:rsidR="006854A4" w14:paraId="60A97D73" w14:textId="77777777" w:rsidTr="00923A98">
        <w:tc>
          <w:tcPr>
            <w:tcW w:w="2500" w:type="pct"/>
          </w:tcPr>
          <w:p w14:paraId="0FDA8E67" w14:textId="77777777" w:rsidR="006854A4" w:rsidRDefault="006854A4" w:rsidP="008313E2">
            <w:r>
              <w:t>Funeral Director contract manager (name and role)</w:t>
            </w:r>
          </w:p>
        </w:tc>
        <w:tc>
          <w:tcPr>
            <w:tcW w:w="2500" w:type="pct"/>
          </w:tcPr>
          <w:p w14:paraId="4E95B765" w14:textId="77777777" w:rsidR="006854A4" w:rsidRDefault="006854A4" w:rsidP="008313E2"/>
        </w:tc>
      </w:tr>
      <w:tr w:rsidR="006854A4" w14:paraId="08839147" w14:textId="77777777" w:rsidTr="00923A98">
        <w:tc>
          <w:tcPr>
            <w:tcW w:w="2500" w:type="pct"/>
          </w:tcPr>
          <w:p w14:paraId="613E83DC" w14:textId="77777777" w:rsidR="006854A4" w:rsidRDefault="006854A4" w:rsidP="008313E2">
            <w:r>
              <w:t>Funeral Director phone and email</w:t>
            </w:r>
          </w:p>
        </w:tc>
        <w:tc>
          <w:tcPr>
            <w:tcW w:w="2500" w:type="pct"/>
          </w:tcPr>
          <w:p w14:paraId="36557C05" w14:textId="77777777" w:rsidR="006854A4" w:rsidRDefault="006854A4" w:rsidP="008313E2"/>
        </w:tc>
      </w:tr>
      <w:tr w:rsidR="006854A4" w14:paraId="428D80BB" w14:textId="77777777" w:rsidTr="00923A98">
        <w:tc>
          <w:tcPr>
            <w:tcW w:w="2500" w:type="pct"/>
          </w:tcPr>
          <w:p w14:paraId="3A6912E1" w14:textId="77777777" w:rsidR="006854A4" w:rsidRDefault="006854A4" w:rsidP="008313E2">
            <w:r>
              <w:t>Funeral Director address for notices</w:t>
            </w:r>
          </w:p>
        </w:tc>
        <w:tc>
          <w:tcPr>
            <w:tcW w:w="2500" w:type="pct"/>
          </w:tcPr>
          <w:p w14:paraId="6C062384" w14:textId="77777777" w:rsidR="006854A4" w:rsidRDefault="006854A4" w:rsidP="008313E2"/>
        </w:tc>
      </w:tr>
      <w:tr w:rsidR="006854A4" w14:paraId="21828BA4" w14:textId="77777777" w:rsidTr="00923A98">
        <w:tc>
          <w:tcPr>
            <w:tcW w:w="2500" w:type="pct"/>
          </w:tcPr>
          <w:p w14:paraId="4990507D" w14:textId="77777777" w:rsidR="006854A4" w:rsidRDefault="006854A4" w:rsidP="008313E2">
            <w:r>
              <w:t>Supplier contract manager (name and role)</w:t>
            </w:r>
          </w:p>
        </w:tc>
        <w:tc>
          <w:tcPr>
            <w:tcW w:w="2500" w:type="pct"/>
          </w:tcPr>
          <w:p w14:paraId="406C9AFC" w14:textId="77777777" w:rsidR="006854A4" w:rsidRDefault="006854A4" w:rsidP="008313E2"/>
        </w:tc>
      </w:tr>
      <w:tr w:rsidR="006854A4" w14:paraId="2B70B666" w14:textId="77777777" w:rsidTr="00923A98">
        <w:tc>
          <w:tcPr>
            <w:tcW w:w="2500" w:type="pct"/>
          </w:tcPr>
          <w:p w14:paraId="2833E11B" w14:textId="77777777" w:rsidR="006854A4" w:rsidRDefault="006854A4" w:rsidP="008313E2">
            <w:r>
              <w:t>Supplier phone and email</w:t>
            </w:r>
          </w:p>
        </w:tc>
        <w:tc>
          <w:tcPr>
            <w:tcW w:w="2500" w:type="pct"/>
          </w:tcPr>
          <w:p w14:paraId="694F8A12" w14:textId="77777777" w:rsidR="006854A4" w:rsidRDefault="006854A4" w:rsidP="008313E2"/>
        </w:tc>
      </w:tr>
      <w:tr w:rsidR="006854A4" w14:paraId="5E74F130" w14:textId="77777777" w:rsidTr="00923A98">
        <w:tc>
          <w:tcPr>
            <w:tcW w:w="2500" w:type="pct"/>
          </w:tcPr>
          <w:p w14:paraId="1E122313" w14:textId="77777777" w:rsidR="006854A4" w:rsidRDefault="006854A4" w:rsidP="008313E2">
            <w:r>
              <w:t>Supplier address for notices</w:t>
            </w:r>
          </w:p>
        </w:tc>
        <w:tc>
          <w:tcPr>
            <w:tcW w:w="2500" w:type="pct"/>
          </w:tcPr>
          <w:p w14:paraId="38D85656" w14:textId="77777777" w:rsidR="006854A4" w:rsidRDefault="006854A4" w:rsidP="008313E2"/>
        </w:tc>
      </w:tr>
    </w:tbl>
    <w:p w14:paraId="60BB2B8A" w14:textId="2A028653" w:rsidR="001F43B6" w:rsidRPr="001F43B6" w:rsidRDefault="001F43B6" w:rsidP="00BA6D78">
      <w:pPr>
        <w:pStyle w:val="4BodyTextMain"/>
        <w:ind w:left="0" w:firstLine="0"/>
      </w:pPr>
    </w:p>
    <w:sectPr w:rsidR="001F43B6" w:rsidRPr="001F43B6" w:rsidSect="003860D8">
      <w:pgSz w:w="16838" w:h="11906" w:orient="landscape"/>
      <w:pgMar w:top="1080" w:right="1440" w:bottom="1080" w:left="1440"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5B44B" w14:textId="77777777" w:rsidR="002163D6" w:rsidRDefault="002163D6" w:rsidP="00B95DA8">
      <w:r>
        <w:separator/>
      </w:r>
    </w:p>
    <w:p w14:paraId="24C27D7C" w14:textId="77777777" w:rsidR="002163D6" w:rsidRDefault="002163D6"/>
    <w:p w14:paraId="5454C886" w14:textId="77777777" w:rsidR="002163D6" w:rsidRDefault="002163D6" w:rsidP="00AE70BD"/>
    <w:p w14:paraId="539DABA6" w14:textId="77777777" w:rsidR="002163D6" w:rsidRDefault="002163D6"/>
    <w:p w14:paraId="62CED984" w14:textId="77777777" w:rsidR="002163D6" w:rsidRDefault="002163D6" w:rsidP="000C1563"/>
  </w:endnote>
  <w:endnote w:type="continuationSeparator" w:id="0">
    <w:p w14:paraId="03886D62" w14:textId="77777777" w:rsidR="002163D6" w:rsidRDefault="002163D6" w:rsidP="00B95DA8">
      <w:r>
        <w:continuationSeparator/>
      </w:r>
    </w:p>
    <w:p w14:paraId="23D8F257" w14:textId="77777777" w:rsidR="002163D6" w:rsidRDefault="002163D6"/>
    <w:p w14:paraId="54D5ADC0" w14:textId="77777777" w:rsidR="002163D6" w:rsidRDefault="002163D6" w:rsidP="00AE70BD"/>
    <w:p w14:paraId="247776CB" w14:textId="77777777" w:rsidR="002163D6" w:rsidRDefault="002163D6"/>
    <w:p w14:paraId="16150DA2" w14:textId="77777777" w:rsidR="002163D6" w:rsidRDefault="002163D6" w:rsidP="000C1563"/>
  </w:endnote>
  <w:endnote w:type="continuationNotice" w:id="1">
    <w:p w14:paraId="0C0609B0" w14:textId="77777777" w:rsidR="002163D6" w:rsidRDefault="002163D6"/>
    <w:p w14:paraId="5EAE521E" w14:textId="77777777" w:rsidR="002163D6" w:rsidRDefault="002163D6"/>
    <w:p w14:paraId="6091370B" w14:textId="77777777" w:rsidR="002163D6" w:rsidRDefault="002163D6" w:rsidP="00AE70BD"/>
    <w:p w14:paraId="3DF97B49" w14:textId="77777777" w:rsidR="002163D6" w:rsidRDefault="002163D6"/>
    <w:p w14:paraId="26FB74A4" w14:textId="77777777" w:rsidR="002163D6" w:rsidRDefault="002163D6" w:rsidP="000C1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0368607"/>
      <w:docPartObj>
        <w:docPartGallery w:val="Page Numbers (Bottom of Page)"/>
        <w:docPartUnique/>
      </w:docPartObj>
    </w:sdtPr>
    <w:sdtEndPr>
      <w:rPr>
        <w:rStyle w:val="PageNumber"/>
      </w:rPr>
    </w:sdtEndPr>
    <w:sdtContent>
      <w:p w14:paraId="60323F30" w14:textId="77777777" w:rsidR="00274704" w:rsidRDefault="00274704" w:rsidP="00DF10A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AF050F" w14:textId="77777777" w:rsidR="00745EDC" w:rsidRDefault="00745EDC" w:rsidP="00DF10AD">
    <w:pPr>
      <w:pStyle w:val="Footer"/>
      <w:ind w:right="360" w:firstLine="360"/>
    </w:pPr>
  </w:p>
  <w:p w14:paraId="0F61C427" w14:textId="77777777" w:rsidR="009062AF" w:rsidRDefault="009062AF"/>
  <w:p w14:paraId="34AECC63" w14:textId="77777777" w:rsidR="009062AF" w:rsidRDefault="009062AF" w:rsidP="00AE70BD"/>
  <w:p w14:paraId="30E3AFA2" w14:textId="77777777" w:rsidR="00462571" w:rsidRDefault="00462571"/>
  <w:p w14:paraId="29D5A023" w14:textId="77777777" w:rsidR="00462571" w:rsidRDefault="00462571" w:rsidP="000C15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7067199"/>
      <w:docPartObj>
        <w:docPartGallery w:val="Page Numbers (Bottom of Page)"/>
        <w:docPartUnique/>
      </w:docPartObj>
    </w:sdtPr>
    <w:sdtEndPr>
      <w:rPr>
        <w:rStyle w:val="PageNumber"/>
        <w:color w:val="000000" w:themeColor="text1"/>
        <w:sz w:val="16"/>
        <w:szCs w:val="16"/>
      </w:rPr>
    </w:sdtEndPr>
    <w:sdtContent>
      <w:p w14:paraId="0C8D5A63" w14:textId="77777777" w:rsidR="0053028B" w:rsidRPr="0088008C" w:rsidRDefault="0053028B" w:rsidP="00DF10AD">
        <w:pPr>
          <w:pStyle w:val="Footer"/>
          <w:framePr w:wrap="none" w:vAnchor="text" w:hAnchor="margin" w:y="1"/>
          <w:jc w:val="center"/>
          <w:rPr>
            <w:rStyle w:val="PageNumber"/>
            <w:color w:val="000000" w:themeColor="text1"/>
            <w:sz w:val="16"/>
            <w:szCs w:val="16"/>
          </w:rPr>
        </w:pPr>
        <w:r w:rsidRPr="0088008C">
          <w:rPr>
            <w:rStyle w:val="PageNumber"/>
            <w:color w:val="000000" w:themeColor="text1"/>
            <w:sz w:val="16"/>
            <w:szCs w:val="16"/>
          </w:rPr>
          <w:fldChar w:fldCharType="begin"/>
        </w:r>
        <w:r w:rsidRPr="0088008C">
          <w:rPr>
            <w:rStyle w:val="PageNumber"/>
            <w:color w:val="000000" w:themeColor="text1"/>
            <w:sz w:val="16"/>
            <w:szCs w:val="16"/>
          </w:rPr>
          <w:instrText xml:space="preserve"> PAGE </w:instrText>
        </w:r>
        <w:r w:rsidRPr="0088008C">
          <w:rPr>
            <w:rStyle w:val="PageNumber"/>
            <w:color w:val="000000" w:themeColor="text1"/>
            <w:sz w:val="16"/>
            <w:szCs w:val="16"/>
          </w:rPr>
          <w:fldChar w:fldCharType="separate"/>
        </w:r>
        <w:r w:rsidRPr="0088008C">
          <w:rPr>
            <w:rStyle w:val="PageNumber"/>
            <w:color w:val="000000" w:themeColor="text1"/>
            <w:sz w:val="16"/>
            <w:szCs w:val="16"/>
          </w:rPr>
          <w:t>1</w:t>
        </w:r>
        <w:r w:rsidRPr="0088008C">
          <w:rPr>
            <w:rStyle w:val="PageNumber"/>
            <w:color w:val="000000" w:themeColor="text1"/>
            <w:sz w:val="16"/>
            <w:szCs w:val="16"/>
          </w:rPr>
          <w:fldChar w:fldCharType="end"/>
        </w:r>
        <w:r w:rsidRPr="0088008C">
          <w:rPr>
            <w:rStyle w:val="PageNumber"/>
            <w:color w:val="000000" w:themeColor="text1"/>
            <w:sz w:val="16"/>
            <w:szCs w:val="16"/>
          </w:rPr>
          <w:t xml:space="preserve"> of </w:t>
        </w:r>
        <w:r w:rsidR="00ED6D83" w:rsidRPr="0088008C">
          <w:rPr>
            <w:color w:val="000000" w:themeColor="text1"/>
            <w:sz w:val="16"/>
            <w:szCs w:val="16"/>
          </w:rPr>
          <w:fldChar w:fldCharType="begin"/>
        </w:r>
        <w:r w:rsidR="00ED6D83" w:rsidRPr="0088008C">
          <w:rPr>
            <w:color w:val="000000" w:themeColor="text1"/>
            <w:sz w:val="16"/>
            <w:szCs w:val="16"/>
          </w:rPr>
          <w:instrText xml:space="preserve"> NUMPAGES  \* Arabic  \* MERGEFORMAT </w:instrText>
        </w:r>
        <w:r w:rsidR="00ED6D83" w:rsidRPr="0088008C">
          <w:rPr>
            <w:color w:val="000000" w:themeColor="text1"/>
            <w:sz w:val="16"/>
            <w:szCs w:val="16"/>
          </w:rPr>
          <w:fldChar w:fldCharType="separate"/>
        </w:r>
        <w:r w:rsidR="00ED6D83" w:rsidRPr="0088008C">
          <w:rPr>
            <w:color w:val="000000" w:themeColor="text1"/>
            <w:sz w:val="16"/>
            <w:szCs w:val="16"/>
          </w:rPr>
          <w:t>1</w:t>
        </w:r>
        <w:r w:rsidR="00ED6D83" w:rsidRPr="0088008C">
          <w:rPr>
            <w:color w:val="000000" w:themeColor="text1"/>
            <w:sz w:val="16"/>
            <w:szCs w:val="16"/>
          </w:rPr>
          <w:fldChar w:fldCharType="end"/>
        </w:r>
        <w:r w:rsidRPr="0088008C">
          <w:rPr>
            <w:rStyle w:val="PageNumber"/>
            <w:color w:val="000000" w:themeColor="text1"/>
            <w:sz w:val="16"/>
            <w:szCs w:val="16"/>
          </w:rPr>
          <w:t xml:space="preserve">  </w:t>
        </w:r>
      </w:p>
    </w:sdtContent>
  </w:sdt>
  <w:p w14:paraId="25D14123" w14:textId="2CC39FFE" w:rsidR="002F368A" w:rsidRPr="008966D6" w:rsidRDefault="00DB6C4B" w:rsidP="002321AF">
    <w:pPr>
      <w:pStyle w:val="Footer"/>
      <w:ind w:right="360" w:firstLine="720"/>
      <w:rPr>
        <w:rFonts w:cs="Calibri"/>
        <w:color w:val="323338"/>
        <w:sz w:val="16"/>
        <w:szCs w:val="16"/>
        <w:shd w:val="clear" w:color="auto" w:fill="FFFFFF"/>
      </w:rPr>
    </w:pPr>
    <w:r w:rsidRPr="001158F8">
      <w:rPr>
        <w:rFonts w:cs="Calibri"/>
        <w:noProof/>
        <w:sz w:val="16"/>
        <w:szCs w:val="16"/>
      </w:rPr>
      <w:drawing>
        <wp:anchor distT="0" distB="0" distL="114300" distR="114300" simplePos="0" relativeHeight="251668480" behindDoc="1" locked="0" layoutInCell="1" allowOverlap="1" wp14:anchorId="4E7E7C38" wp14:editId="0BC25091">
          <wp:simplePos x="0" y="0"/>
          <wp:positionH relativeFrom="margin">
            <wp:align>right</wp:align>
          </wp:positionH>
          <wp:positionV relativeFrom="paragraph">
            <wp:posOffset>-243205</wp:posOffset>
          </wp:positionV>
          <wp:extent cx="373031" cy="531676"/>
          <wp:effectExtent l="0" t="0" r="8255" b="1905"/>
          <wp:wrapNone/>
          <wp:docPr id="157679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59440" name=""/>
                  <pic:cNvPicPr/>
                </pic:nvPicPr>
                <pic:blipFill>
                  <a:blip r:embed="rId1"/>
                  <a:stretch>
                    <a:fillRect/>
                  </a:stretch>
                </pic:blipFill>
                <pic:spPr>
                  <a:xfrm>
                    <a:off x="0" y="0"/>
                    <a:ext cx="373031" cy="531676"/>
                  </a:xfrm>
                  <a:prstGeom prst="rect">
                    <a:avLst/>
                  </a:prstGeom>
                </pic:spPr>
              </pic:pic>
            </a:graphicData>
          </a:graphic>
          <wp14:sizeRelH relativeFrom="page">
            <wp14:pctWidth>0</wp14:pctWidth>
          </wp14:sizeRelH>
          <wp14:sizeRelV relativeFrom="page">
            <wp14:pctHeight>0</wp14:pctHeight>
          </wp14:sizeRelV>
        </wp:anchor>
      </w:drawing>
    </w:r>
    <w:r w:rsidR="006854A4">
      <w:rPr>
        <w:rFonts w:cs="Calibri"/>
        <w:color w:val="323338"/>
        <w:sz w:val="16"/>
        <w:szCs w:val="16"/>
        <w:shd w:val="clear" w:color="auto" w:fill="FFFFFF"/>
      </w:rPr>
      <w:t>Service Level Agreement</w:t>
    </w:r>
    <w:r w:rsidR="001F43B6">
      <w:rPr>
        <w:rFonts w:cs="Calibri"/>
        <w:color w:val="323338"/>
        <w:sz w:val="16"/>
        <w:szCs w:val="16"/>
        <w:shd w:val="clear" w:color="auto" w:fill="FFFFFF"/>
      </w:rPr>
      <w:t xml:space="preserve"> </w:t>
    </w:r>
    <w:r w:rsidR="00C24BDD" w:rsidRPr="001158F8">
      <w:rPr>
        <w:rFonts w:cs="Calibri"/>
        <w:color w:val="323338"/>
        <w:sz w:val="16"/>
        <w:szCs w:val="16"/>
        <w:shd w:val="clear" w:color="auto" w:fill="FFFFFF"/>
      </w:rPr>
      <w:t>– V</w:t>
    </w:r>
    <w:r w:rsidR="00AC3019">
      <w:rPr>
        <w:rFonts w:cs="Calibri"/>
        <w:color w:val="323338"/>
        <w:sz w:val="16"/>
        <w:szCs w:val="16"/>
        <w:shd w:val="clear" w:color="auto" w:fill="FFFFFF"/>
      </w:rPr>
      <w:t>1</w:t>
    </w:r>
    <w:r w:rsidR="00E76D54">
      <w:rPr>
        <w:rFonts w:cs="Calibri"/>
        <w:color w:val="323338"/>
        <w:sz w:val="16"/>
        <w:szCs w:val="16"/>
        <w:shd w:val="clear" w:color="auto" w:fill="FFFFFF"/>
      </w:rPr>
      <w:t xml:space="preserve">. </w:t>
    </w:r>
    <w:r w:rsidR="00AC3019">
      <w:rPr>
        <w:rFonts w:cs="Calibri"/>
        <w:color w:val="323338"/>
        <w:sz w:val="16"/>
        <w:szCs w:val="16"/>
        <w:shd w:val="clear" w:color="auto" w:fill="FFFFFF"/>
      </w:rPr>
      <w:t>10</w:t>
    </w:r>
    <w:r w:rsidR="00E76D54">
      <w:rPr>
        <w:rFonts w:cs="Calibri"/>
        <w:color w:val="323338"/>
        <w:sz w:val="16"/>
        <w:szCs w:val="16"/>
        <w:shd w:val="clear" w:color="auto" w:fill="FFFFFF"/>
      </w:rPr>
      <w:t>/</w:t>
    </w:r>
    <w:r w:rsidR="00AC3019">
      <w:rPr>
        <w:rFonts w:cs="Calibri"/>
        <w:color w:val="323338"/>
        <w:sz w:val="16"/>
        <w:szCs w:val="16"/>
        <w:shd w:val="clear" w:color="auto" w:fill="FFFFFF"/>
      </w:rPr>
      <w:t>25</w:t>
    </w:r>
    <w:r w:rsidR="001749F5">
      <w:rPr>
        <w:rFonts w:cs="Calibri"/>
        <w:color w:val="323338"/>
        <w:sz w:val="16"/>
        <w:szCs w:val="16"/>
        <w:shd w:val="clear" w:color="auto" w:fill="FFFFFF"/>
      </w:rPr>
      <w:tab/>
    </w:r>
    <w:r w:rsidR="0004097B">
      <w:rPr>
        <w:rFonts w:cs="Calibri"/>
        <w:color w:val="323338"/>
        <w:sz w:val="16"/>
        <w:szCs w:val="16"/>
        <w:shd w:val="clear" w:color="auto" w:fill="FFFFFF"/>
      </w:rPr>
      <w:t xml:space="preserve">  </w:t>
    </w:r>
    <w:r w:rsidR="0004097B">
      <w:rPr>
        <w:rFonts w:cs="Calibri"/>
        <w:color w:val="323338"/>
        <w:sz w:val="16"/>
        <w:szCs w:val="16"/>
        <w:shd w:val="clear" w:color="auto" w:fill="FFFFFF"/>
      </w:rPr>
      <w:tab/>
    </w:r>
    <w:r w:rsidR="002F368A" w:rsidRPr="001158F8">
      <w:rPr>
        <w:rFonts w:cs="Calibri"/>
        <w:color w:val="323338"/>
        <w:sz w:val="16"/>
        <w:szCs w:val="16"/>
        <w:shd w:val="clear" w:color="auto" w:fil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B4FDC" w14:textId="77777777" w:rsidR="002163D6" w:rsidRDefault="002163D6" w:rsidP="00B95DA8">
      <w:r>
        <w:separator/>
      </w:r>
    </w:p>
    <w:p w14:paraId="3523836A" w14:textId="77777777" w:rsidR="002163D6" w:rsidRDefault="002163D6"/>
    <w:p w14:paraId="2E7540D7" w14:textId="77777777" w:rsidR="002163D6" w:rsidRDefault="002163D6" w:rsidP="00AE70BD"/>
    <w:p w14:paraId="63454EF2" w14:textId="77777777" w:rsidR="002163D6" w:rsidRDefault="002163D6"/>
    <w:p w14:paraId="74F287C2" w14:textId="77777777" w:rsidR="002163D6" w:rsidRDefault="002163D6" w:rsidP="000C1563"/>
  </w:footnote>
  <w:footnote w:type="continuationSeparator" w:id="0">
    <w:p w14:paraId="4D165D4A" w14:textId="77777777" w:rsidR="002163D6" w:rsidRDefault="002163D6" w:rsidP="00B95DA8">
      <w:r>
        <w:continuationSeparator/>
      </w:r>
    </w:p>
    <w:p w14:paraId="6E05CC60" w14:textId="77777777" w:rsidR="002163D6" w:rsidRDefault="002163D6"/>
    <w:p w14:paraId="6F7E7FAD" w14:textId="77777777" w:rsidR="002163D6" w:rsidRDefault="002163D6" w:rsidP="00AE70BD"/>
    <w:p w14:paraId="62F4F2FA" w14:textId="77777777" w:rsidR="002163D6" w:rsidRDefault="002163D6"/>
    <w:p w14:paraId="6A1A46A5" w14:textId="77777777" w:rsidR="002163D6" w:rsidRDefault="002163D6" w:rsidP="000C1563"/>
  </w:footnote>
  <w:footnote w:type="continuationNotice" w:id="1">
    <w:p w14:paraId="7ED48F11" w14:textId="77777777" w:rsidR="002163D6" w:rsidRDefault="002163D6"/>
    <w:p w14:paraId="3B818958" w14:textId="77777777" w:rsidR="002163D6" w:rsidRDefault="002163D6"/>
    <w:p w14:paraId="737ECCB5" w14:textId="77777777" w:rsidR="002163D6" w:rsidRDefault="002163D6" w:rsidP="00AE70BD"/>
    <w:p w14:paraId="6280307E" w14:textId="77777777" w:rsidR="002163D6" w:rsidRDefault="002163D6"/>
    <w:p w14:paraId="6AD12B9C" w14:textId="77777777" w:rsidR="002163D6" w:rsidRDefault="002163D6" w:rsidP="000C15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194F"/>
    <w:multiLevelType w:val="hybridMultilevel"/>
    <w:tmpl w:val="1F4CF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905AE"/>
    <w:multiLevelType w:val="hybridMultilevel"/>
    <w:tmpl w:val="C2CED7B2"/>
    <w:lvl w:ilvl="0" w:tplc="06A89E3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443B3"/>
    <w:multiLevelType w:val="hybridMultilevel"/>
    <w:tmpl w:val="C608C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06402"/>
    <w:multiLevelType w:val="hybridMultilevel"/>
    <w:tmpl w:val="ECD2D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674EE"/>
    <w:multiLevelType w:val="hybridMultilevel"/>
    <w:tmpl w:val="3E547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511F7"/>
    <w:multiLevelType w:val="hybridMultilevel"/>
    <w:tmpl w:val="B0B20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DB7D96"/>
    <w:multiLevelType w:val="hybridMultilevel"/>
    <w:tmpl w:val="89A03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90F39"/>
    <w:multiLevelType w:val="hybridMultilevel"/>
    <w:tmpl w:val="510ED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91D0A"/>
    <w:multiLevelType w:val="hybridMultilevel"/>
    <w:tmpl w:val="858E3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C000BB"/>
    <w:multiLevelType w:val="hybridMultilevel"/>
    <w:tmpl w:val="82CA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03047A"/>
    <w:multiLevelType w:val="hybridMultilevel"/>
    <w:tmpl w:val="BD202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0B37A9"/>
    <w:multiLevelType w:val="hybridMultilevel"/>
    <w:tmpl w:val="FD228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7404BD"/>
    <w:multiLevelType w:val="hybridMultilevel"/>
    <w:tmpl w:val="FD62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B041A7"/>
    <w:multiLevelType w:val="hybridMultilevel"/>
    <w:tmpl w:val="DE424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C07A65"/>
    <w:multiLevelType w:val="hybridMultilevel"/>
    <w:tmpl w:val="2B246C92"/>
    <w:lvl w:ilvl="0" w:tplc="86AE5032">
      <w:start w:val="1"/>
      <w:numFmt w:val="bullet"/>
      <w:pStyle w:val="5BTBulletPoin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AF16129"/>
    <w:multiLevelType w:val="hybridMultilevel"/>
    <w:tmpl w:val="5A608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271625"/>
    <w:multiLevelType w:val="hybridMultilevel"/>
    <w:tmpl w:val="65E21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CF1946"/>
    <w:multiLevelType w:val="hybridMultilevel"/>
    <w:tmpl w:val="A10A6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423C46"/>
    <w:multiLevelType w:val="hybridMultilevel"/>
    <w:tmpl w:val="F71E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225BFD"/>
    <w:multiLevelType w:val="hybridMultilevel"/>
    <w:tmpl w:val="99D4E2EA"/>
    <w:lvl w:ilvl="0" w:tplc="913AF82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0" w15:restartNumberingAfterBreak="0">
    <w:nsid w:val="43C5284D"/>
    <w:multiLevelType w:val="hybridMultilevel"/>
    <w:tmpl w:val="B4F49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761900"/>
    <w:multiLevelType w:val="hybridMultilevel"/>
    <w:tmpl w:val="8A380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025309"/>
    <w:multiLevelType w:val="hybridMultilevel"/>
    <w:tmpl w:val="AA9A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D65869"/>
    <w:multiLevelType w:val="hybridMultilevel"/>
    <w:tmpl w:val="0122C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DE1C47"/>
    <w:multiLevelType w:val="hybridMultilevel"/>
    <w:tmpl w:val="FA80B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C13965"/>
    <w:multiLevelType w:val="hybridMultilevel"/>
    <w:tmpl w:val="16C4B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1251555">
    <w:abstractNumId w:val="14"/>
  </w:num>
  <w:num w:numId="2" w16cid:durableId="1225024863">
    <w:abstractNumId w:val="19"/>
  </w:num>
  <w:num w:numId="3" w16cid:durableId="927425175">
    <w:abstractNumId w:val="23"/>
  </w:num>
  <w:num w:numId="4" w16cid:durableId="359822420">
    <w:abstractNumId w:val="1"/>
  </w:num>
  <w:num w:numId="5" w16cid:durableId="1275752164">
    <w:abstractNumId w:val="24"/>
  </w:num>
  <w:num w:numId="6" w16cid:durableId="845436979">
    <w:abstractNumId w:val="22"/>
  </w:num>
  <w:num w:numId="7" w16cid:durableId="168448068">
    <w:abstractNumId w:val="5"/>
  </w:num>
  <w:num w:numId="8" w16cid:durableId="1692563050">
    <w:abstractNumId w:val="11"/>
  </w:num>
  <w:num w:numId="9" w16cid:durableId="2044330185">
    <w:abstractNumId w:val="21"/>
  </w:num>
  <w:num w:numId="10" w16cid:durableId="1658148607">
    <w:abstractNumId w:val="16"/>
  </w:num>
  <w:num w:numId="11" w16cid:durableId="1435397800">
    <w:abstractNumId w:val="0"/>
  </w:num>
  <w:num w:numId="12" w16cid:durableId="960186188">
    <w:abstractNumId w:val="25"/>
  </w:num>
  <w:num w:numId="13" w16cid:durableId="545994158">
    <w:abstractNumId w:val="9"/>
  </w:num>
  <w:num w:numId="14" w16cid:durableId="1948077602">
    <w:abstractNumId w:val="12"/>
  </w:num>
  <w:num w:numId="15" w16cid:durableId="1716927044">
    <w:abstractNumId w:val="8"/>
  </w:num>
  <w:num w:numId="16" w16cid:durableId="890312159">
    <w:abstractNumId w:val="15"/>
  </w:num>
  <w:num w:numId="17" w16cid:durableId="121073811">
    <w:abstractNumId w:val="3"/>
  </w:num>
  <w:num w:numId="18" w16cid:durableId="1699627002">
    <w:abstractNumId w:val="4"/>
  </w:num>
  <w:num w:numId="19" w16cid:durableId="1244996246">
    <w:abstractNumId w:val="10"/>
  </w:num>
  <w:num w:numId="20" w16cid:durableId="2146464048">
    <w:abstractNumId w:val="6"/>
  </w:num>
  <w:num w:numId="21" w16cid:durableId="669599011">
    <w:abstractNumId w:val="7"/>
  </w:num>
  <w:num w:numId="22" w16cid:durableId="1342389401">
    <w:abstractNumId w:val="2"/>
  </w:num>
  <w:num w:numId="23" w16cid:durableId="618226836">
    <w:abstractNumId w:val="18"/>
  </w:num>
  <w:num w:numId="24" w16cid:durableId="30689105">
    <w:abstractNumId w:val="17"/>
  </w:num>
  <w:num w:numId="25" w16cid:durableId="1166894248">
    <w:abstractNumId w:val="20"/>
  </w:num>
  <w:num w:numId="26" w16cid:durableId="1200164895">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B0"/>
    <w:rsid w:val="00004E12"/>
    <w:rsid w:val="00010A76"/>
    <w:rsid w:val="000149B2"/>
    <w:rsid w:val="000156A3"/>
    <w:rsid w:val="000203A8"/>
    <w:rsid w:val="000203AF"/>
    <w:rsid w:val="0003048D"/>
    <w:rsid w:val="0003104A"/>
    <w:rsid w:val="00033353"/>
    <w:rsid w:val="00033DBC"/>
    <w:rsid w:val="00037718"/>
    <w:rsid w:val="0004097B"/>
    <w:rsid w:val="00046117"/>
    <w:rsid w:val="0005309E"/>
    <w:rsid w:val="00055B47"/>
    <w:rsid w:val="00056147"/>
    <w:rsid w:val="00067D80"/>
    <w:rsid w:val="00072CE7"/>
    <w:rsid w:val="000731E1"/>
    <w:rsid w:val="00073FDB"/>
    <w:rsid w:val="00076F61"/>
    <w:rsid w:val="00097FA8"/>
    <w:rsid w:val="000A219F"/>
    <w:rsid w:val="000A6A00"/>
    <w:rsid w:val="000B23FE"/>
    <w:rsid w:val="000B75CA"/>
    <w:rsid w:val="000B797A"/>
    <w:rsid w:val="000C1563"/>
    <w:rsid w:val="000C3CE2"/>
    <w:rsid w:val="000C4EB3"/>
    <w:rsid w:val="000C5EAF"/>
    <w:rsid w:val="000C62A4"/>
    <w:rsid w:val="000D7036"/>
    <w:rsid w:val="000E0C89"/>
    <w:rsid w:val="000E2181"/>
    <w:rsid w:val="000E4521"/>
    <w:rsid w:val="000E62BF"/>
    <w:rsid w:val="000F7282"/>
    <w:rsid w:val="00101D80"/>
    <w:rsid w:val="00103B96"/>
    <w:rsid w:val="00105608"/>
    <w:rsid w:val="00107881"/>
    <w:rsid w:val="00115319"/>
    <w:rsid w:val="001158F8"/>
    <w:rsid w:val="00120713"/>
    <w:rsid w:val="00123911"/>
    <w:rsid w:val="00123EE8"/>
    <w:rsid w:val="00130A53"/>
    <w:rsid w:val="00133025"/>
    <w:rsid w:val="00133416"/>
    <w:rsid w:val="00134D8A"/>
    <w:rsid w:val="0013692E"/>
    <w:rsid w:val="00136D4C"/>
    <w:rsid w:val="001455FC"/>
    <w:rsid w:val="0014587D"/>
    <w:rsid w:val="00145A52"/>
    <w:rsid w:val="00152A0D"/>
    <w:rsid w:val="001537DD"/>
    <w:rsid w:val="00155F79"/>
    <w:rsid w:val="00156982"/>
    <w:rsid w:val="00156C09"/>
    <w:rsid w:val="00160682"/>
    <w:rsid w:val="00166977"/>
    <w:rsid w:val="0017028E"/>
    <w:rsid w:val="001749F5"/>
    <w:rsid w:val="00175622"/>
    <w:rsid w:val="00176184"/>
    <w:rsid w:val="001761FF"/>
    <w:rsid w:val="00176F3A"/>
    <w:rsid w:val="00180C2C"/>
    <w:rsid w:val="00193BEB"/>
    <w:rsid w:val="001A23B4"/>
    <w:rsid w:val="001A4A18"/>
    <w:rsid w:val="001A6328"/>
    <w:rsid w:val="001A64BF"/>
    <w:rsid w:val="001B1214"/>
    <w:rsid w:val="001B13BC"/>
    <w:rsid w:val="001B1C31"/>
    <w:rsid w:val="001B3A4D"/>
    <w:rsid w:val="001B7DED"/>
    <w:rsid w:val="001C1636"/>
    <w:rsid w:val="001C5D6D"/>
    <w:rsid w:val="001C61FD"/>
    <w:rsid w:val="001D56D1"/>
    <w:rsid w:val="001D6D83"/>
    <w:rsid w:val="001E4581"/>
    <w:rsid w:val="001F43B6"/>
    <w:rsid w:val="001F4968"/>
    <w:rsid w:val="001F5AB3"/>
    <w:rsid w:val="001F69C0"/>
    <w:rsid w:val="00202070"/>
    <w:rsid w:val="0020588A"/>
    <w:rsid w:val="00205ECD"/>
    <w:rsid w:val="002131FF"/>
    <w:rsid w:val="0021321D"/>
    <w:rsid w:val="002163D6"/>
    <w:rsid w:val="002168A0"/>
    <w:rsid w:val="0022192C"/>
    <w:rsid w:val="002232CD"/>
    <w:rsid w:val="002266B3"/>
    <w:rsid w:val="00227AE2"/>
    <w:rsid w:val="002321AF"/>
    <w:rsid w:val="002353FA"/>
    <w:rsid w:val="00236575"/>
    <w:rsid w:val="00241281"/>
    <w:rsid w:val="00257A54"/>
    <w:rsid w:val="00267ED9"/>
    <w:rsid w:val="00272BB1"/>
    <w:rsid w:val="00274704"/>
    <w:rsid w:val="002754EE"/>
    <w:rsid w:val="00282BF8"/>
    <w:rsid w:val="0028324C"/>
    <w:rsid w:val="00284A21"/>
    <w:rsid w:val="002B2621"/>
    <w:rsid w:val="002B3992"/>
    <w:rsid w:val="002B5A55"/>
    <w:rsid w:val="002B6807"/>
    <w:rsid w:val="002C5FF1"/>
    <w:rsid w:val="002C6D42"/>
    <w:rsid w:val="002D00C3"/>
    <w:rsid w:val="002D19A8"/>
    <w:rsid w:val="002D2ADC"/>
    <w:rsid w:val="002D66BD"/>
    <w:rsid w:val="002E1831"/>
    <w:rsid w:val="002E1B02"/>
    <w:rsid w:val="002E46B5"/>
    <w:rsid w:val="002F1582"/>
    <w:rsid w:val="002F368A"/>
    <w:rsid w:val="002F4030"/>
    <w:rsid w:val="0030117F"/>
    <w:rsid w:val="003028EC"/>
    <w:rsid w:val="00306E8E"/>
    <w:rsid w:val="0030792E"/>
    <w:rsid w:val="00307BCD"/>
    <w:rsid w:val="0031268B"/>
    <w:rsid w:val="00313B00"/>
    <w:rsid w:val="0031546F"/>
    <w:rsid w:val="0031564F"/>
    <w:rsid w:val="003307B4"/>
    <w:rsid w:val="00332488"/>
    <w:rsid w:val="003330EE"/>
    <w:rsid w:val="003402C9"/>
    <w:rsid w:val="00344FD4"/>
    <w:rsid w:val="003452D1"/>
    <w:rsid w:val="00355A5F"/>
    <w:rsid w:val="00357747"/>
    <w:rsid w:val="00362B09"/>
    <w:rsid w:val="00364619"/>
    <w:rsid w:val="00375F8B"/>
    <w:rsid w:val="003822CF"/>
    <w:rsid w:val="003860D8"/>
    <w:rsid w:val="003934C8"/>
    <w:rsid w:val="0039375E"/>
    <w:rsid w:val="003A012A"/>
    <w:rsid w:val="003A2536"/>
    <w:rsid w:val="003A5790"/>
    <w:rsid w:val="003B2B6F"/>
    <w:rsid w:val="003B6C35"/>
    <w:rsid w:val="003C2FF7"/>
    <w:rsid w:val="003D19B5"/>
    <w:rsid w:val="003D424A"/>
    <w:rsid w:val="003E0065"/>
    <w:rsid w:val="003E2A16"/>
    <w:rsid w:val="003E2DDF"/>
    <w:rsid w:val="003E3165"/>
    <w:rsid w:val="003E44AF"/>
    <w:rsid w:val="003E6B49"/>
    <w:rsid w:val="003E6E19"/>
    <w:rsid w:val="003E6F33"/>
    <w:rsid w:val="0040026A"/>
    <w:rsid w:val="00400EC9"/>
    <w:rsid w:val="0040680A"/>
    <w:rsid w:val="0040723C"/>
    <w:rsid w:val="00413B74"/>
    <w:rsid w:val="0041555B"/>
    <w:rsid w:val="00420F26"/>
    <w:rsid w:val="0042186E"/>
    <w:rsid w:val="0042545F"/>
    <w:rsid w:val="004406F4"/>
    <w:rsid w:val="00440914"/>
    <w:rsid w:val="004413F2"/>
    <w:rsid w:val="0044219E"/>
    <w:rsid w:val="00462571"/>
    <w:rsid w:val="00462AD3"/>
    <w:rsid w:val="00462D7D"/>
    <w:rsid w:val="004630A4"/>
    <w:rsid w:val="0046362E"/>
    <w:rsid w:val="00463892"/>
    <w:rsid w:val="00463C33"/>
    <w:rsid w:val="00465BD9"/>
    <w:rsid w:val="00473376"/>
    <w:rsid w:val="004763C6"/>
    <w:rsid w:val="00477694"/>
    <w:rsid w:val="004836F2"/>
    <w:rsid w:val="004844A6"/>
    <w:rsid w:val="004854E5"/>
    <w:rsid w:val="00494034"/>
    <w:rsid w:val="00497206"/>
    <w:rsid w:val="0049737E"/>
    <w:rsid w:val="004B525E"/>
    <w:rsid w:val="004B53BB"/>
    <w:rsid w:val="004B73B6"/>
    <w:rsid w:val="004C0EC6"/>
    <w:rsid w:val="004C2142"/>
    <w:rsid w:val="004C4CA2"/>
    <w:rsid w:val="004D06C0"/>
    <w:rsid w:val="004D2289"/>
    <w:rsid w:val="004D51C4"/>
    <w:rsid w:val="004D6FB7"/>
    <w:rsid w:val="004D7B35"/>
    <w:rsid w:val="004E4C5A"/>
    <w:rsid w:val="004F5CCC"/>
    <w:rsid w:val="0050051A"/>
    <w:rsid w:val="0050736D"/>
    <w:rsid w:val="00507381"/>
    <w:rsid w:val="00507541"/>
    <w:rsid w:val="00510DE8"/>
    <w:rsid w:val="00514380"/>
    <w:rsid w:val="005143C2"/>
    <w:rsid w:val="00514A02"/>
    <w:rsid w:val="00516A5C"/>
    <w:rsid w:val="00524175"/>
    <w:rsid w:val="0052487D"/>
    <w:rsid w:val="0053028B"/>
    <w:rsid w:val="00545F8A"/>
    <w:rsid w:val="00547079"/>
    <w:rsid w:val="005470D2"/>
    <w:rsid w:val="005526BC"/>
    <w:rsid w:val="005538C1"/>
    <w:rsid w:val="00554FC0"/>
    <w:rsid w:val="00566942"/>
    <w:rsid w:val="005703FE"/>
    <w:rsid w:val="0057244F"/>
    <w:rsid w:val="00577ABC"/>
    <w:rsid w:val="00581EBA"/>
    <w:rsid w:val="005835A3"/>
    <w:rsid w:val="005848E8"/>
    <w:rsid w:val="00591F21"/>
    <w:rsid w:val="00593C94"/>
    <w:rsid w:val="0059421E"/>
    <w:rsid w:val="005945FA"/>
    <w:rsid w:val="005A131D"/>
    <w:rsid w:val="005A7477"/>
    <w:rsid w:val="005B682A"/>
    <w:rsid w:val="005B78B7"/>
    <w:rsid w:val="005C1091"/>
    <w:rsid w:val="005C2B56"/>
    <w:rsid w:val="005C5595"/>
    <w:rsid w:val="005C65AE"/>
    <w:rsid w:val="005D19B1"/>
    <w:rsid w:val="005D1A9E"/>
    <w:rsid w:val="005D6D70"/>
    <w:rsid w:val="005E77FC"/>
    <w:rsid w:val="005F21BF"/>
    <w:rsid w:val="005F5F36"/>
    <w:rsid w:val="005F642A"/>
    <w:rsid w:val="005F6787"/>
    <w:rsid w:val="005F6933"/>
    <w:rsid w:val="005F6AD4"/>
    <w:rsid w:val="005F71A6"/>
    <w:rsid w:val="006017B0"/>
    <w:rsid w:val="00611C8D"/>
    <w:rsid w:val="00615677"/>
    <w:rsid w:val="00616CFB"/>
    <w:rsid w:val="006321D1"/>
    <w:rsid w:val="006360D9"/>
    <w:rsid w:val="00640D2E"/>
    <w:rsid w:val="006427B2"/>
    <w:rsid w:val="00642E5E"/>
    <w:rsid w:val="00644DD6"/>
    <w:rsid w:val="00651054"/>
    <w:rsid w:val="00665218"/>
    <w:rsid w:val="00675AEF"/>
    <w:rsid w:val="00676470"/>
    <w:rsid w:val="0068238F"/>
    <w:rsid w:val="00684737"/>
    <w:rsid w:val="006854A4"/>
    <w:rsid w:val="00686490"/>
    <w:rsid w:val="00692CA9"/>
    <w:rsid w:val="0069346C"/>
    <w:rsid w:val="006A27DF"/>
    <w:rsid w:val="006A4604"/>
    <w:rsid w:val="006B38F5"/>
    <w:rsid w:val="006B74DF"/>
    <w:rsid w:val="006B7AF8"/>
    <w:rsid w:val="006C497A"/>
    <w:rsid w:val="006C4B77"/>
    <w:rsid w:val="006C6403"/>
    <w:rsid w:val="006D521D"/>
    <w:rsid w:val="006D68CA"/>
    <w:rsid w:val="006D6E66"/>
    <w:rsid w:val="006E04FB"/>
    <w:rsid w:val="006E2DE4"/>
    <w:rsid w:val="006E3A35"/>
    <w:rsid w:val="00702C7A"/>
    <w:rsid w:val="00705E21"/>
    <w:rsid w:val="007102D1"/>
    <w:rsid w:val="00714EEF"/>
    <w:rsid w:val="00715B0E"/>
    <w:rsid w:val="00730740"/>
    <w:rsid w:val="007332A4"/>
    <w:rsid w:val="00745EDC"/>
    <w:rsid w:val="0075012B"/>
    <w:rsid w:val="00751B75"/>
    <w:rsid w:val="0075482E"/>
    <w:rsid w:val="00757A1C"/>
    <w:rsid w:val="00760392"/>
    <w:rsid w:val="00762E51"/>
    <w:rsid w:val="00763CAB"/>
    <w:rsid w:val="0076744F"/>
    <w:rsid w:val="0077027A"/>
    <w:rsid w:val="0077214A"/>
    <w:rsid w:val="0078246E"/>
    <w:rsid w:val="00785B05"/>
    <w:rsid w:val="007912FF"/>
    <w:rsid w:val="0079584A"/>
    <w:rsid w:val="00797E97"/>
    <w:rsid w:val="007B2A96"/>
    <w:rsid w:val="007B675E"/>
    <w:rsid w:val="007B6B62"/>
    <w:rsid w:val="007B7468"/>
    <w:rsid w:val="007B781D"/>
    <w:rsid w:val="007C7FF1"/>
    <w:rsid w:val="007D1E72"/>
    <w:rsid w:val="007D46F3"/>
    <w:rsid w:val="007D47CC"/>
    <w:rsid w:val="007D79ED"/>
    <w:rsid w:val="007E4214"/>
    <w:rsid w:val="007E688C"/>
    <w:rsid w:val="007E6D82"/>
    <w:rsid w:val="007F062E"/>
    <w:rsid w:val="007F15F7"/>
    <w:rsid w:val="007F3929"/>
    <w:rsid w:val="00810EE8"/>
    <w:rsid w:val="00814AF9"/>
    <w:rsid w:val="0082230D"/>
    <w:rsid w:val="00823986"/>
    <w:rsid w:val="00824A53"/>
    <w:rsid w:val="008355D7"/>
    <w:rsid w:val="00840EFE"/>
    <w:rsid w:val="00876B3B"/>
    <w:rsid w:val="0088008C"/>
    <w:rsid w:val="00881568"/>
    <w:rsid w:val="008842CE"/>
    <w:rsid w:val="00885215"/>
    <w:rsid w:val="00890E32"/>
    <w:rsid w:val="00891099"/>
    <w:rsid w:val="00891E0C"/>
    <w:rsid w:val="00892B75"/>
    <w:rsid w:val="008966D6"/>
    <w:rsid w:val="00897B24"/>
    <w:rsid w:val="008A00C4"/>
    <w:rsid w:val="008A21E0"/>
    <w:rsid w:val="008A4017"/>
    <w:rsid w:val="008A5BB8"/>
    <w:rsid w:val="008A7057"/>
    <w:rsid w:val="008B0925"/>
    <w:rsid w:val="008B4CCE"/>
    <w:rsid w:val="008C07B9"/>
    <w:rsid w:val="008D101F"/>
    <w:rsid w:val="008D2A39"/>
    <w:rsid w:val="008E21AA"/>
    <w:rsid w:val="008F6C77"/>
    <w:rsid w:val="00901FBC"/>
    <w:rsid w:val="00902F2D"/>
    <w:rsid w:val="00903196"/>
    <w:rsid w:val="009062AF"/>
    <w:rsid w:val="009078B3"/>
    <w:rsid w:val="00911DA7"/>
    <w:rsid w:val="00913571"/>
    <w:rsid w:val="00923A98"/>
    <w:rsid w:val="00924BEC"/>
    <w:rsid w:val="00931DFE"/>
    <w:rsid w:val="00945814"/>
    <w:rsid w:val="00950662"/>
    <w:rsid w:val="00952A71"/>
    <w:rsid w:val="009567B1"/>
    <w:rsid w:val="00960B77"/>
    <w:rsid w:val="00965BE9"/>
    <w:rsid w:val="00970268"/>
    <w:rsid w:val="0097034A"/>
    <w:rsid w:val="0097080C"/>
    <w:rsid w:val="009715DB"/>
    <w:rsid w:val="00971698"/>
    <w:rsid w:val="009722B7"/>
    <w:rsid w:val="00974297"/>
    <w:rsid w:val="00975B5E"/>
    <w:rsid w:val="009770BF"/>
    <w:rsid w:val="00977B56"/>
    <w:rsid w:val="0098237D"/>
    <w:rsid w:val="00992EF1"/>
    <w:rsid w:val="009936EB"/>
    <w:rsid w:val="009959D1"/>
    <w:rsid w:val="00995AC5"/>
    <w:rsid w:val="00997864"/>
    <w:rsid w:val="009A096C"/>
    <w:rsid w:val="009A48E6"/>
    <w:rsid w:val="009A6883"/>
    <w:rsid w:val="009A7420"/>
    <w:rsid w:val="009A7566"/>
    <w:rsid w:val="009A763B"/>
    <w:rsid w:val="009B0087"/>
    <w:rsid w:val="009B498C"/>
    <w:rsid w:val="009C6807"/>
    <w:rsid w:val="009C79DF"/>
    <w:rsid w:val="009D3797"/>
    <w:rsid w:val="009E461C"/>
    <w:rsid w:val="009F5B9E"/>
    <w:rsid w:val="00A05EB9"/>
    <w:rsid w:val="00A101DF"/>
    <w:rsid w:val="00A13092"/>
    <w:rsid w:val="00A1397E"/>
    <w:rsid w:val="00A16C99"/>
    <w:rsid w:val="00A16ED2"/>
    <w:rsid w:val="00A173C4"/>
    <w:rsid w:val="00A25069"/>
    <w:rsid w:val="00A3120F"/>
    <w:rsid w:val="00A32D9D"/>
    <w:rsid w:val="00A3550A"/>
    <w:rsid w:val="00A42816"/>
    <w:rsid w:val="00A463E4"/>
    <w:rsid w:val="00A464D1"/>
    <w:rsid w:val="00A54AD5"/>
    <w:rsid w:val="00A604A5"/>
    <w:rsid w:val="00A60718"/>
    <w:rsid w:val="00A664D0"/>
    <w:rsid w:val="00A74B9B"/>
    <w:rsid w:val="00A77FE8"/>
    <w:rsid w:val="00A9784C"/>
    <w:rsid w:val="00AA1496"/>
    <w:rsid w:val="00AA22F7"/>
    <w:rsid w:val="00AA5D64"/>
    <w:rsid w:val="00AA5FA4"/>
    <w:rsid w:val="00AB28F8"/>
    <w:rsid w:val="00AC3019"/>
    <w:rsid w:val="00AC5D1A"/>
    <w:rsid w:val="00AD1439"/>
    <w:rsid w:val="00AD162C"/>
    <w:rsid w:val="00AE16A7"/>
    <w:rsid w:val="00AE1CF9"/>
    <w:rsid w:val="00AE70BD"/>
    <w:rsid w:val="00AF3894"/>
    <w:rsid w:val="00AF7DA3"/>
    <w:rsid w:val="00B113ED"/>
    <w:rsid w:val="00B132FB"/>
    <w:rsid w:val="00B15F0B"/>
    <w:rsid w:val="00B35F39"/>
    <w:rsid w:val="00B4148F"/>
    <w:rsid w:val="00B44829"/>
    <w:rsid w:val="00B4496C"/>
    <w:rsid w:val="00B5339F"/>
    <w:rsid w:val="00B539AE"/>
    <w:rsid w:val="00B541D2"/>
    <w:rsid w:val="00B56B7F"/>
    <w:rsid w:val="00B56D62"/>
    <w:rsid w:val="00B602BD"/>
    <w:rsid w:val="00B62AFF"/>
    <w:rsid w:val="00B75129"/>
    <w:rsid w:val="00B77695"/>
    <w:rsid w:val="00B8311E"/>
    <w:rsid w:val="00B85524"/>
    <w:rsid w:val="00B86087"/>
    <w:rsid w:val="00B86364"/>
    <w:rsid w:val="00B87E4F"/>
    <w:rsid w:val="00B90BE6"/>
    <w:rsid w:val="00B925D9"/>
    <w:rsid w:val="00B95DA8"/>
    <w:rsid w:val="00B9600C"/>
    <w:rsid w:val="00B97CCC"/>
    <w:rsid w:val="00BA2845"/>
    <w:rsid w:val="00BA4FB0"/>
    <w:rsid w:val="00BA6D78"/>
    <w:rsid w:val="00BA71E2"/>
    <w:rsid w:val="00BA746E"/>
    <w:rsid w:val="00BC64A8"/>
    <w:rsid w:val="00BC7BA0"/>
    <w:rsid w:val="00BD034E"/>
    <w:rsid w:val="00BD05A0"/>
    <w:rsid w:val="00BE1DDC"/>
    <w:rsid w:val="00BE3206"/>
    <w:rsid w:val="00BE6EB9"/>
    <w:rsid w:val="00BF05C3"/>
    <w:rsid w:val="00BF4C67"/>
    <w:rsid w:val="00BF6A76"/>
    <w:rsid w:val="00C03F40"/>
    <w:rsid w:val="00C0697A"/>
    <w:rsid w:val="00C13E25"/>
    <w:rsid w:val="00C15309"/>
    <w:rsid w:val="00C1596E"/>
    <w:rsid w:val="00C2190C"/>
    <w:rsid w:val="00C21A3A"/>
    <w:rsid w:val="00C24BDD"/>
    <w:rsid w:val="00C2582C"/>
    <w:rsid w:val="00C3080D"/>
    <w:rsid w:val="00C31D4C"/>
    <w:rsid w:val="00C32D2C"/>
    <w:rsid w:val="00C335AA"/>
    <w:rsid w:val="00C35A1D"/>
    <w:rsid w:val="00C36280"/>
    <w:rsid w:val="00C374A5"/>
    <w:rsid w:val="00C41734"/>
    <w:rsid w:val="00C52AA3"/>
    <w:rsid w:val="00C64DA9"/>
    <w:rsid w:val="00C655CC"/>
    <w:rsid w:val="00C723F9"/>
    <w:rsid w:val="00C80D2D"/>
    <w:rsid w:val="00CA1BBC"/>
    <w:rsid w:val="00CA40A4"/>
    <w:rsid w:val="00CA50C2"/>
    <w:rsid w:val="00CA6182"/>
    <w:rsid w:val="00CA7003"/>
    <w:rsid w:val="00CB03A6"/>
    <w:rsid w:val="00CB3758"/>
    <w:rsid w:val="00CC11BF"/>
    <w:rsid w:val="00CC7F66"/>
    <w:rsid w:val="00CD009D"/>
    <w:rsid w:val="00CD71AD"/>
    <w:rsid w:val="00CE6A3B"/>
    <w:rsid w:val="00CF4B6E"/>
    <w:rsid w:val="00D007D3"/>
    <w:rsid w:val="00D01E46"/>
    <w:rsid w:val="00D063F1"/>
    <w:rsid w:val="00D22870"/>
    <w:rsid w:val="00D31068"/>
    <w:rsid w:val="00D32D55"/>
    <w:rsid w:val="00D45F5F"/>
    <w:rsid w:val="00D503EE"/>
    <w:rsid w:val="00D51D85"/>
    <w:rsid w:val="00D5371C"/>
    <w:rsid w:val="00D57BF8"/>
    <w:rsid w:val="00D64A84"/>
    <w:rsid w:val="00D669A2"/>
    <w:rsid w:val="00D7051D"/>
    <w:rsid w:val="00D7054E"/>
    <w:rsid w:val="00D70816"/>
    <w:rsid w:val="00D71FC8"/>
    <w:rsid w:val="00D75C8C"/>
    <w:rsid w:val="00D813C7"/>
    <w:rsid w:val="00D82C8C"/>
    <w:rsid w:val="00D84FD7"/>
    <w:rsid w:val="00D86903"/>
    <w:rsid w:val="00D91656"/>
    <w:rsid w:val="00DB3BE6"/>
    <w:rsid w:val="00DB3E24"/>
    <w:rsid w:val="00DB625D"/>
    <w:rsid w:val="00DB6B57"/>
    <w:rsid w:val="00DB6C4B"/>
    <w:rsid w:val="00DE1DD0"/>
    <w:rsid w:val="00DF10AD"/>
    <w:rsid w:val="00E1346D"/>
    <w:rsid w:val="00E139BC"/>
    <w:rsid w:val="00E1641C"/>
    <w:rsid w:val="00E3647B"/>
    <w:rsid w:val="00E3651D"/>
    <w:rsid w:val="00E3741B"/>
    <w:rsid w:val="00E43DAA"/>
    <w:rsid w:val="00E462B6"/>
    <w:rsid w:val="00E468FF"/>
    <w:rsid w:val="00E46BCA"/>
    <w:rsid w:val="00E51F71"/>
    <w:rsid w:val="00E579F9"/>
    <w:rsid w:val="00E6318C"/>
    <w:rsid w:val="00E707EE"/>
    <w:rsid w:val="00E70CF2"/>
    <w:rsid w:val="00E71374"/>
    <w:rsid w:val="00E7249E"/>
    <w:rsid w:val="00E74719"/>
    <w:rsid w:val="00E75C42"/>
    <w:rsid w:val="00E76D54"/>
    <w:rsid w:val="00E9071D"/>
    <w:rsid w:val="00E9258E"/>
    <w:rsid w:val="00E94180"/>
    <w:rsid w:val="00E9614E"/>
    <w:rsid w:val="00E977E1"/>
    <w:rsid w:val="00EA06C8"/>
    <w:rsid w:val="00EA0C69"/>
    <w:rsid w:val="00EA3D54"/>
    <w:rsid w:val="00EA5AE5"/>
    <w:rsid w:val="00EB16F7"/>
    <w:rsid w:val="00EB6CC9"/>
    <w:rsid w:val="00ED00CE"/>
    <w:rsid w:val="00ED4126"/>
    <w:rsid w:val="00ED6D83"/>
    <w:rsid w:val="00ED72F7"/>
    <w:rsid w:val="00EE0A5E"/>
    <w:rsid w:val="00EE2E80"/>
    <w:rsid w:val="00EF2C6C"/>
    <w:rsid w:val="00EF3325"/>
    <w:rsid w:val="00EF4248"/>
    <w:rsid w:val="00EF7F5D"/>
    <w:rsid w:val="00F05722"/>
    <w:rsid w:val="00F10A6B"/>
    <w:rsid w:val="00F158C9"/>
    <w:rsid w:val="00F16574"/>
    <w:rsid w:val="00F20995"/>
    <w:rsid w:val="00F22AAC"/>
    <w:rsid w:val="00F23F2A"/>
    <w:rsid w:val="00F32833"/>
    <w:rsid w:val="00F36239"/>
    <w:rsid w:val="00F40EE7"/>
    <w:rsid w:val="00F41917"/>
    <w:rsid w:val="00F44735"/>
    <w:rsid w:val="00F45926"/>
    <w:rsid w:val="00F52EAF"/>
    <w:rsid w:val="00F57049"/>
    <w:rsid w:val="00F57AD2"/>
    <w:rsid w:val="00F71B75"/>
    <w:rsid w:val="00F770C1"/>
    <w:rsid w:val="00F83818"/>
    <w:rsid w:val="00F84CC6"/>
    <w:rsid w:val="00F87EB6"/>
    <w:rsid w:val="00F962D8"/>
    <w:rsid w:val="00FA4086"/>
    <w:rsid w:val="00FB0A85"/>
    <w:rsid w:val="00FB132E"/>
    <w:rsid w:val="00FB222A"/>
    <w:rsid w:val="00FC2975"/>
    <w:rsid w:val="00FD33AB"/>
    <w:rsid w:val="00FD49DF"/>
    <w:rsid w:val="00FE111D"/>
    <w:rsid w:val="00FE7885"/>
    <w:rsid w:val="00FF004A"/>
    <w:rsid w:val="00FF201F"/>
    <w:rsid w:val="00FF5C10"/>
    <w:rsid w:val="00FF606F"/>
    <w:rsid w:val="00FF7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BB205"/>
  <w15:chartTrackingRefBased/>
  <w15:docId w15:val="{1119E6BA-FA03-445D-8A58-B9CB8103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before="120"/>
        <w:ind w:left="1344" w:hanging="62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019"/>
    <w:pPr>
      <w:spacing w:before="0" w:after="160" w:line="278" w:lineRule="auto"/>
      <w:ind w:left="0" w:firstLine="0"/>
    </w:pPr>
  </w:style>
  <w:style w:type="paragraph" w:styleId="Heading1">
    <w:name w:val="heading 1"/>
    <w:aliases w:val="2. Heading 1,Headings"/>
    <w:basedOn w:val="Normal"/>
    <w:next w:val="Normal"/>
    <w:link w:val="Heading1Char"/>
    <w:autoRedefine/>
    <w:uiPriority w:val="9"/>
    <w:qFormat/>
    <w:rsid w:val="00202070"/>
    <w:pPr>
      <w:keepNext/>
      <w:keepLines/>
      <w:outlineLvl w:val="0"/>
    </w:pPr>
    <w:rPr>
      <w:rFonts w:eastAsiaTheme="majorEastAsia" w:cstheme="majorBidi"/>
      <w:b/>
      <w:sz w:val="28"/>
      <w:szCs w:val="40"/>
    </w:rPr>
  </w:style>
  <w:style w:type="paragraph" w:styleId="Heading2">
    <w:name w:val="heading 2"/>
    <w:aliases w:val="3. Heading 2,Sub-Heading"/>
    <w:basedOn w:val="Normal"/>
    <w:next w:val="Normal"/>
    <w:link w:val="Heading2Char"/>
    <w:autoRedefine/>
    <w:uiPriority w:val="9"/>
    <w:unhideWhenUsed/>
    <w:qFormat/>
    <w:rsid w:val="00876B3B"/>
    <w:pPr>
      <w:keepNext/>
      <w:keepLines/>
      <w:spacing w:before="160" w:after="80"/>
      <w:outlineLvl w:val="1"/>
    </w:pPr>
    <w:rPr>
      <w:rFonts w:eastAsiaTheme="majorEastAsia" w:cstheme="majorBidi"/>
      <w:i/>
      <w:color w:val="000000" w:themeColor="text1"/>
      <w:szCs w:val="32"/>
    </w:rPr>
  </w:style>
  <w:style w:type="paragraph" w:styleId="Heading3">
    <w:name w:val="heading 3"/>
    <w:aliases w:val="Sub-Headings 2"/>
    <w:basedOn w:val="Normal"/>
    <w:next w:val="Normal"/>
    <w:link w:val="Heading3Char"/>
    <w:uiPriority w:val="9"/>
    <w:unhideWhenUsed/>
    <w:qFormat/>
    <w:rsid w:val="00B95D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95D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95D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95D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D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D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D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Heading 1 Char,Headings Char"/>
    <w:basedOn w:val="DefaultParagraphFont"/>
    <w:link w:val="Heading1"/>
    <w:uiPriority w:val="9"/>
    <w:rsid w:val="00202070"/>
    <w:rPr>
      <w:rFonts w:ascii="Calibri" w:eastAsiaTheme="majorEastAsia" w:hAnsi="Calibri" w:cstheme="majorBidi"/>
      <w:b/>
      <w:sz w:val="28"/>
      <w:szCs w:val="40"/>
    </w:rPr>
  </w:style>
  <w:style w:type="character" w:customStyle="1" w:styleId="Heading2Char">
    <w:name w:val="Heading 2 Char"/>
    <w:aliases w:val="3. Heading 2 Char,Sub-Heading Char"/>
    <w:basedOn w:val="DefaultParagraphFont"/>
    <w:link w:val="Heading2"/>
    <w:uiPriority w:val="9"/>
    <w:rsid w:val="00876B3B"/>
    <w:rPr>
      <w:rFonts w:ascii="Calibri" w:eastAsiaTheme="majorEastAsia" w:hAnsi="Calibri" w:cstheme="majorBidi"/>
      <w:i/>
      <w:color w:val="000000" w:themeColor="text1"/>
      <w:szCs w:val="32"/>
    </w:rPr>
  </w:style>
  <w:style w:type="character" w:customStyle="1" w:styleId="Heading3Char">
    <w:name w:val="Heading 3 Char"/>
    <w:aliases w:val="Sub-Headings 2 Char"/>
    <w:basedOn w:val="DefaultParagraphFont"/>
    <w:link w:val="Heading3"/>
    <w:uiPriority w:val="9"/>
    <w:rsid w:val="00B95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B95DA8"/>
    <w:rPr>
      <w:rFonts w:eastAsiaTheme="majorEastAsia" w:cstheme="majorBidi"/>
      <w:i/>
      <w:iCs/>
      <w:color w:val="0F4761" w:themeColor="accent1" w:themeShade="BF"/>
    </w:rPr>
  </w:style>
  <w:style w:type="character" w:customStyle="1" w:styleId="Heading5Char">
    <w:name w:val="Heading 5 Char"/>
    <w:basedOn w:val="DefaultParagraphFont"/>
    <w:link w:val="Heading5"/>
    <w:rsid w:val="00B95DA8"/>
    <w:rPr>
      <w:rFonts w:eastAsiaTheme="majorEastAsia" w:cstheme="majorBidi"/>
      <w:color w:val="0F4761" w:themeColor="accent1" w:themeShade="BF"/>
    </w:rPr>
  </w:style>
  <w:style w:type="character" w:customStyle="1" w:styleId="Heading6Char">
    <w:name w:val="Heading 6 Char"/>
    <w:basedOn w:val="DefaultParagraphFont"/>
    <w:link w:val="Heading6"/>
    <w:rsid w:val="00B95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DA8"/>
    <w:rPr>
      <w:rFonts w:eastAsiaTheme="majorEastAsia" w:cstheme="majorBidi"/>
      <w:color w:val="272727" w:themeColor="text1" w:themeTint="D8"/>
    </w:rPr>
  </w:style>
  <w:style w:type="paragraph" w:styleId="Title">
    <w:name w:val="Title"/>
    <w:aliases w:val="a Title"/>
    <w:basedOn w:val="Normal"/>
    <w:next w:val="Normal"/>
    <w:link w:val="TitleChar"/>
    <w:uiPriority w:val="10"/>
    <w:qFormat/>
    <w:rsid w:val="0077027A"/>
    <w:pPr>
      <w:spacing w:after="80"/>
      <w:contextualSpacing/>
      <w:jc w:val="center"/>
    </w:pPr>
    <w:rPr>
      <w:rFonts w:eastAsiaTheme="majorEastAsia" w:cstheme="majorBidi"/>
      <w:spacing w:val="-10"/>
      <w:kern w:val="28"/>
      <w:sz w:val="40"/>
      <w:szCs w:val="56"/>
    </w:rPr>
  </w:style>
  <w:style w:type="character" w:customStyle="1" w:styleId="TitleChar">
    <w:name w:val="Title Char"/>
    <w:aliases w:val="a Title Char"/>
    <w:basedOn w:val="DefaultParagraphFont"/>
    <w:link w:val="Title"/>
    <w:uiPriority w:val="10"/>
    <w:rsid w:val="0077027A"/>
    <w:rPr>
      <w:rFonts w:ascii="Calibri" w:eastAsiaTheme="majorEastAsia" w:hAnsi="Calibri" w:cstheme="majorBidi"/>
      <w:spacing w:val="-10"/>
      <w:kern w:val="28"/>
      <w:sz w:val="40"/>
      <w:szCs w:val="56"/>
    </w:rPr>
  </w:style>
  <w:style w:type="paragraph" w:styleId="Subtitle">
    <w:name w:val="Subtitle"/>
    <w:basedOn w:val="Normal"/>
    <w:next w:val="Normal"/>
    <w:link w:val="SubtitleChar"/>
    <w:uiPriority w:val="11"/>
    <w:qFormat/>
    <w:rsid w:val="00B95DA8"/>
    <w:pPr>
      <w:numPr>
        <w:ilvl w:val="1"/>
      </w:numPr>
      <w:ind w:left="1344" w:hanging="62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DA8"/>
    <w:pPr>
      <w:spacing w:before="160"/>
      <w:jc w:val="center"/>
    </w:pPr>
    <w:rPr>
      <w:i/>
      <w:iCs/>
      <w:color w:val="404040" w:themeColor="text1" w:themeTint="BF"/>
    </w:rPr>
  </w:style>
  <w:style w:type="character" w:customStyle="1" w:styleId="QuoteChar">
    <w:name w:val="Quote Char"/>
    <w:basedOn w:val="DefaultParagraphFont"/>
    <w:link w:val="Quote"/>
    <w:uiPriority w:val="29"/>
    <w:rsid w:val="00B95DA8"/>
    <w:rPr>
      <w:i/>
      <w:iCs/>
      <w:color w:val="404040" w:themeColor="text1" w:themeTint="BF"/>
    </w:rPr>
  </w:style>
  <w:style w:type="paragraph" w:styleId="ListParagraph">
    <w:name w:val="List Paragraph"/>
    <w:basedOn w:val="Normal"/>
    <w:uiPriority w:val="34"/>
    <w:qFormat/>
    <w:rsid w:val="00B95DA8"/>
    <w:pPr>
      <w:ind w:left="720"/>
      <w:contextualSpacing/>
    </w:pPr>
  </w:style>
  <w:style w:type="character" w:styleId="IntenseEmphasis">
    <w:name w:val="Intense Emphasis"/>
    <w:basedOn w:val="DefaultParagraphFont"/>
    <w:uiPriority w:val="21"/>
    <w:qFormat/>
    <w:rsid w:val="00B95DA8"/>
    <w:rPr>
      <w:i/>
      <w:iCs/>
      <w:color w:val="0F4761" w:themeColor="accent1" w:themeShade="BF"/>
    </w:rPr>
  </w:style>
  <w:style w:type="paragraph" w:styleId="IntenseQuote">
    <w:name w:val="Intense Quote"/>
    <w:basedOn w:val="Normal"/>
    <w:next w:val="Normal"/>
    <w:link w:val="IntenseQuoteChar"/>
    <w:uiPriority w:val="30"/>
    <w:qFormat/>
    <w:rsid w:val="00B95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DA8"/>
    <w:rPr>
      <w:i/>
      <w:iCs/>
      <w:color w:val="0F4761" w:themeColor="accent1" w:themeShade="BF"/>
    </w:rPr>
  </w:style>
  <w:style w:type="character" w:styleId="IntenseReference">
    <w:name w:val="Intense Reference"/>
    <w:basedOn w:val="DefaultParagraphFont"/>
    <w:uiPriority w:val="32"/>
    <w:qFormat/>
    <w:rsid w:val="00B95DA8"/>
    <w:rPr>
      <w:b/>
      <w:bCs/>
      <w:smallCaps/>
      <w:color w:val="0F4761" w:themeColor="accent1" w:themeShade="BF"/>
      <w:spacing w:val="5"/>
    </w:rPr>
  </w:style>
  <w:style w:type="paragraph" w:styleId="Header">
    <w:name w:val="header"/>
    <w:basedOn w:val="Normal"/>
    <w:link w:val="HeaderChar"/>
    <w:uiPriority w:val="99"/>
    <w:unhideWhenUsed/>
    <w:rsid w:val="00B95DA8"/>
    <w:pPr>
      <w:tabs>
        <w:tab w:val="center" w:pos="4513"/>
        <w:tab w:val="right" w:pos="9026"/>
      </w:tabs>
    </w:pPr>
  </w:style>
  <w:style w:type="character" w:customStyle="1" w:styleId="HeaderChar">
    <w:name w:val="Header Char"/>
    <w:basedOn w:val="DefaultParagraphFont"/>
    <w:link w:val="Header"/>
    <w:uiPriority w:val="99"/>
    <w:rsid w:val="00B95DA8"/>
  </w:style>
  <w:style w:type="paragraph" w:styleId="Footer">
    <w:name w:val="footer"/>
    <w:basedOn w:val="Normal"/>
    <w:link w:val="FooterChar"/>
    <w:uiPriority w:val="99"/>
    <w:unhideWhenUsed/>
    <w:rsid w:val="00B95DA8"/>
    <w:pPr>
      <w:tabs>
        <w:tab w:val="center" w:pos="4513"/>
        <w:tab w:val="right" w:pos="9026"/>
      </w:tabs>
    </w:pPr>
  </w:style>
  <w:style w:type="character" w:customStyle="1" w:styleId="FooterChar">
    <w:name w:val="Footer Char"/>
    <w:basedOn w:val="DefaultParagraphFont"/>
    <w:link w:val="Footer"/>
    <w:uiPriority w:val="99"/>
    <w:rsid w:val="00B95DA8"/>
  </w:style>
  <w:style w:type="table" w:styleId="TableGrid">
    <w:name w:val="Table Grid"/>
    <w:basedOn w:val="TableNormal"/>
    <w:uiPriority w:val="59"/>
    <w:rsid w:val="00103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utoRedefine/>
    <w:uiPriority w:val="1"/>
    <w:qFormat/>
    <w:rsid w:val="00665218"/>
    <w:pPr>
      <w:jc w:val="center"/>
    </w:pPr>
    <w:rPr>
      <w:rFonts w:ascii="Calibri" w:hAnsi="Calibri"/>
    </w:rPr>
  </w:style>
  <w:style w:type="character" w:styleId="PageNumber">
    <w:name w:val="page number"/>
    <w:basedOn w:val="DefaultParagraphFont"/>
    <w:uiPriority w:val="99"/>
    <w:semiHidden/>
    <w:unhideWhenUsed/>
    <w:rsid w:val="00274704"/>
  </w:style>
  <w:style w:type="character" w:styleId="Hyperlink">
    <w:name w:val="Hyperlink"/>
    <w:basedOn w:val="DefaultParagraphFont"/>
    <w:uiPriority w:val="99"/>
    <w:unhideWhenUsed/>
    <w:rsid w:val="00A464D1"/>
    <w:rPr>
      <w:color w:val="467886" w:themeColor="hyperlink"/>
      <w:u w:val="single"/>
    </w:rPr>
  </w:style>
  <w:style w:type="character" w:styleId="UnresolvedMention">
    <w:name w:val="Unresolved Mention"/>
    <w:basedOn w:val="DefaultParagraphFont"/>
    <w:uiPriority w:val="99"/>
    <w:semiHidden/>
    <w:unhideWhenUsed/>
    <w:rsid w:val="00A464D1"/>
    <w:rPr>
      <w:color w:val="605E5C"/>
      <w:shd w:val="clear" w:color="auto" w:fill="E1DFDD"/>
    </w:rPr>
  </w:style>
  <w:style w:type="character" w:styleId="FollowedHyperlink">
    <w:name w:val="FollowedHyperlink"/>
    <w:basedOn w:val="DefaultParagraphFont"/>
    <w:uiPriority w:val="99"/>
    <w:semiHidden/>
    <w:unhideWhenUsed/>
    <w:rsid w:val="00A464D1"/>
    <w:rPr>
      <w:color w:val="96607D" w:themeColor="followedHyperlink"/>
      <w:u w:val="single"/>
    </w:rPr>
  </w:style>
  <w:style w:type="paragraph" w:customStyle="1" w:styleId="4BodyTextMain">
    <w:name w:val="4. Body Text Main"/>
    <w:qFormat/>
    <w:rsid w:val="000E2181"/>
    <w:rPr>
      <w:rFonts w:ascii="Calibri" w:hAnsi="Calibri"/>
    </w:rPr>
  </w:style>
  <w:style w:type="paragraph" w:customStyle="1" w:styleId="4BTItalic">
    <w:name w:val="4.BT Italic"/>
    <w:basedOn w:val="4BodyTextMain"/>
    <w:qFormat/>
    <w:rsid w:val="0075012B"/>
    <w:rPr>
      <w:i/>
    </w:rPr>
  </w:style>
  <w:style w:type="paragraph" w:customStyle="1" w:styleId="1Title">
    <w:name w:val="1. Title"/>
    <w:qFormat/>
    <w:rsid w:val="009B0087"/>
    <w:pPr>
      <w:jc w:val="center"/>
    </w:pPr>
    <w:rPr>
      <w:rFonts w:ascii="Helvetica" w:eastAsiaTheme="majorEastAsia" w:hAnsi="Helvetica" w:cs="Times New Roman (Headings CS)"/>
      <w:b/>
      <w:bCs/>
      <w:spacing w:val="80"/>
      <w:kern w:val="28"/>
      <w:sz w:val="36"/>
      <w:szCs w:val="56"/>
    </w:rPr>
  </w:style>
  <w:style w:type="paragraph" w:customStyle="1" w:styleId="2MainHeading">
    <w:name w:val="2. Main Heading"/>
    <w:basedOn w:val="Heading1"/>
    <w:qFormat/>
    <w:rsid w:val="00E70CF2"/>
  </w:style>
  <w:style w:type="paragraph" w:customStyle="1" w:styleId="3SHItalicUnderline">
    <w:name w:val="3. SH Italic Underline"/>
    <w:basedOn w:val="Heading2"/>
    <w:qFormat/>
    <w:rsid w:val="00440914"/>
    <w:rPr>
      <w:u w:val="single"/>
    </w:rPr>
  </w:style>
  <w:style w:type="table" w:customStyle="1" w:styleId="TableGrid0">
    <w:name w:val="TableGrid"/>
    <w:rsid w:val="00EA0C69"/>
    <w:pPr>
      <w:ind w:right="6" w:hanging="11"/>
    </w:pPr>
    <w:rPr>
      <w:rFonts w:eastAsiaTheme="minorEastAsia"/>
      <w:lang w:eastAsia="en-GB"/>
    </w:rPr>
    <w:tblPr>
      <w:tblCellMar>
        <w:top w:w="0" w:type="dxa"/>
        <w:left w:w="0" w:type="dxa"/>
        <w:bottom w:w="0" w:type="dxa"/>
        <w:right w:w="0" w:type="dxa"/>
      </w:tblCellMar>
    </w:tblPr>
  </w:style>
  <w:style w:type="paragraph" w:customStyle="1" w:styleId="paragraph">
    <w:name w:val="paragraph"/>
    <w:basedOn w:val="Normal"/>
    <w:rsid w:val="00EA0C69"/>
    <w:pPr>
      <w:spacing w:before="100" w:beforeAutospacing="1"/>
      <w:ind w:right="6"/>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EA0C69"/>
    <w:pPr>
      <w:spacing w:before="100" w:beforeAutospacing="1"/>
      <w:ind w:right="6"/>
    </w:pPr>
    <w:rPr>
      <w:rFonts w:eastAsia="Times New Roman" w:cs="Times New Roman"/>
      <w:kern w:val="0"/>
      <w:lang w:eastAsia="en-GB"/>
      <w14:ligatures w14:val="none"/>
    </w:rPr>
  </w:style>
  <w:style w:type="paragraph" w:styleId="Revision">
    <w:name w:val="Revision"/>
    <w:hidden/>
    <w:uiPriority w:val="99"/>
    <w:semiHidden/>
    <w:rsid w:val="00EA0C69"/>
    <w:pPr>
      <w:ind w:right="6" w:hanging="11"/>
    </w:pPr>
    <w:rPr>
      <w:rFonts w:ascii="Calibri" w:eastAsia="Calibri" w:hAnsi="Calibri" w:cs="Calibri"/>
      <w:color w:val="000000"/>
      <w:sz w:val="22"/>
      <w:lang w:eastAsia="en-GB"/>
    </w:rPr>
  </w:style>
  <w:style w:type="character" w:customStyle="1" w:styleId="normaltextrun">
    <w:name w:val="normaltextrun"/>
    <w:basedOn w:val="DefaultParagraphFont"/>
    <w:rsid w:val="00EA0C69"/>
  </w:style>
  <w:style w:type="character" w:customStyle="1" w:styleId="eop">
    <w:name w:val="eop"/>
    <w:basedOn w:val="DefaultParagraphFont"/>
    <w:rsid w:val="00EA0C69"/>
  </w:style>
  <w:style w:type="paragraph" w:styleId="TOCHeading">
    <w:name w:val="TOC Heading"/>
    <w:basedOn w:val="Heading1"/>
    <w:next w:val="Normal"/>
    <w:uiPriority w:val="39"/>
    <w:unhideWhenUsed/>
    <w:qFormat/>
    <w:rsid w:val="00EA0C69"/>
    <w:pPr>
      <w:spacing w:before="240" w:line="360" w:lineRule="auto"/>
      <w:ind w:right="6"/>
      <w:outlineLvl w:val="9"/>
    </w:pPr>
    <w:rPr>
      <w:rFonts w:asciiTheme="majorHAnsi" w:hAnsiTheme="majorHAnsi"/>
      <w:b w:val="0"/>
      <w:color w:val="0F4761" w:themeColor="accent1" w:themeShade="BF"/>
      <w:kern w:val="0"/>
      <w:sz w:val="32"/>
      <w:szCs w:val="32"/>
      <w:lang w:val="en-US"/>
      <w14:ligatures w14:val="none"/>
    </w:rPr>
  </w:style>
  <w:style w:type="paragraph" w:styleId="TOC2">
    <w:name w:val="toc 2"/>
    <w:basedOn w:val="Normal"/>
    <w:next w:val="Normal"/>
    <w:autoRedefine/>
    <w:uiPriority w:val="39"/>
    <w:unhideWhenUsed/>
    <w:rsid w:val="00EA0C69"/>
    <w:pPr>
      <w:tabs>
        <w:tab w:val="right" w:leader="dot" w:pos="9350"/>
      </w:tabs>
      <w:spacing w:line="259" w:lineRule="auto"/>
      <w:ind w:left="220" w:right="6"/>
    </w:pPr>
    <w:rPr>
      <w:rFonts w:eastAsiaTheme="minorEastAsia" w:cs="Times New Roman"/>
      <w:noProof/>
      <w:color w:val="1F3245"/>
      <w:kern w:val="0"/>
      <w:szCs w:val="22"/>
      <w:lang w:val="en-US"/>
      <w14:ligatures w14:val="none"/>
    </w:rPr>
  </w:style>
  <w:style w:type="paragraph" w:styleId="TOC1">
    <w:name w:val="toc 1"/>
    <w:basedOn w:val="Normal"/>
    <w:next w:val="Normal"/>
    <w:autoRedefine/>
    <w:uiPriority w:val="39"/>
    <w:unhideWhenUsed/>
    <w:rsid w:val="00EA0C69"/>
    <w:pPr>
      <w:spacing w:line="259" w:lineRule="auto"/>
      <w:ind w:right="6"/>
    </w:pPr>
    <w:rPr>
      <w:rFonts w:eastAsiaTheme="minorEastAsia" w:cs="Times New Roman"/>
      <w:kern w:val="0"/>
      <w:szCs w:val="22"/>
      <w:lang w:val="en-US"/>
      <w14:ligatures w14:val="none"/>
    </w:rPr>
  </w:style>
  <w:style w:type="paragraph" w:styleId="TOC3">
    <w:name w:val="toc 3"/>
    <w:basedOn w:val="Normal"/>
    <w:next w:val="Normal"/>
    <w:autoRedefine/>
    <w:uiPriority w:val="39"/>
    <w:unhideWhenUsed/>
    <w:rsid w:val="00EA0C69"/>
    <w:pPr>
      <w:spacing w:line="259" w:lineRule="auto"/>
      <w:ind w:left="440" w:right="6"/>
    </w:pPr>
    <w:rPr>
      <w:rFonts w:eastAsiaTheme="minorEastAsia" w:cs="Times New Roman"/>
      <w:kern w:val="0"/>
      <w:szCs w:val="22"/>
      <w:lang w:val="en-US"/>
      <w14:ligatures w14:val="none"/>
    </w:rPr>
  </w:style>
  <w:style w:type="paragraph" w:styleId="TOC4">
    <w:name w:val="toc 4"/>
    <w:basedOn w:val="Normal"/>
    <w:next w:val="Normal"/>
    <w:autoRedefine/>
    <w:uiPriority w:val="39"/>
    <w:unhideWhenUsed/>
    <w:rsid w:val="00EA0C69"/>
    <w:pPr>
      <w:spacing w:after="100"/>
      <w:ind w:left="720"/>
    </w:pPr>
    <w:rPr>
      <w:rFonts w:eastAsiaTheme="minorEastAsia"/>
      <w:lang w:eastAsia="en-GB"/>
    </w:rPr>
  </w:style>
  <w:style w:type="paragraph" w:styleId="TOC5">
    <w:name w:val="toc 5"/>
    <w:basedOn w:val="Normal"/>
    <w:next w:val="Normal"/>
    <w:autoRedefine/>
    <w:uiPriority w:val="39"/>
    <w:unhideWhenUsed/>
    <w:rsid w:val="00EA0C69"/>
    <w:pPr>
      <w:spacing w:after="100"/>
      <w:ind w:left="960"/>
    </w:pPr>
    <w:rPr>
      <w:rFonts w:eastAsiaTheme="minorEastAsia"/>
      <w:lang w:eastAsia="en-GB"/>
    </w:rPr>
  </w:style>
  <w:style w:type="paragraph" w:styleId="TOC6">
    <w:name w:val="toc 6"/>
    <w:basedOn w:val="Normal"/>
    <w:next w:val="Normal"/>
    <w:autoRedefine/>
    <w:uiPriority w:val="39"/>
    <w:unhideWhenUsed/>
    <w:rsid w:val="00EA0C69"/>
    <w:pPr>
      <w:spacing w:after="100"/>
      <w:ind w:left="1200"/>
    </w:pPr>
    <w:rPr>
      <w:rFonts w:eastAsiaTheme="minorEastAsia"/>
      <w:lang w:eastAsia="en-GB"/>
    </w:rPr>
  </w:style>
  <w:style w:type="paragraph" w:styleId="TOC7">
    <w:name w:val="toc 7"/>
    <w:basedOn w:val="Normal"/>
    <w:next w:val="Normal"/>
    <w:autoRedefine/>
    <w:uiPriority w:val="39"/>
    <w:unhideWhenUsed/>
    <w:rsid w:val="00EA0C69"/>
    <w:pPr>
      <w:spacing w:after="100"/>
      <w:ind w:left="1440"/>
    </w:pPr>
    <w:rPr>
      <w:rFonts w:eastAsiaTheme="minorEastAsia"/>
      <w:lang w:eastAsia="en-GB"/>
    </w:rPr>
  </w:style>
  <w:style w:type="paragraph" w:styleId="TOC8">
    <w:name w:val="toc 8"/>
    <w:basedOn w:val="Normal"/>
    <w:next w:val="Normal"/>
    <w:autoRedefine/>
    <w:uiPriority w:val="39"/>
    <w:unhideWhenUsed/>
    <w:rsid w:val="00EA0C69"/>
    <w:pPr>
      <w:spacing w:after="100"/>
      <w:ind w:left="1680"/>
    </w:pPr>
    <w:rPr>
      <w:rFonts w:eastAsiaTheme="minorEastAsia"/>
      <w:lang w:eastAsia="en-GB"/>
    </w:rPr>
  </w:style>
  <w:style w:type="paragraph" w:styleId="TOC9">
    <w:name w:val="toc 9"/>
    <w:basedOn w:val="Normal"/>
    <w:next w:val="Normal"/>
    <w:autoRedefine/>
    <w:uiPriority w:val="39"/>
    <w:unhideWhenUsed/>
    <w:rsid w:val="00EA0C69"/>
    <w:pPr>
      <w:spacing w:after="100"/>
      <w:ind w:left="1920"/>
    </w:pPr>
    <w:rPr>
      <w:rFonts w:eastAsiaTheme="minorEastAsia"/>
      <w:lang w:eastAsia="en-GB"/>
    </w:rPr>
  </w:style>
  <w:style w:type="paragraph" w:customStyle="1" w:styleId="3SHBold">
    <w:name w:val="3.SH Bold"/>
    <w:basedOn w:val="4BTItalic"/>
    <w:next w:val="4BodyTextMain"/>
    <w:qFormat/>
    <w:rsid w:val="00F32833"/>
    <w:pPr>
      <w:spacing w:before="240"/>
    </w:pPr>
    <w:rPr>
      <w:b/>
      <w:i w:val="0"/>
    </w:rPr>
  </w:style>
  <w:style w:type="character" w:styleId="CommentReference">
    <w:name w:val="annotation reference"/>
    <w:basedOn w:val="DefaultParagraphFont"/>
    <w:uiPriority w:val="99"/>
    <w:semiHidden/>
    <w:unhideWhenUsed/>
    <w:rsid w:val="002B5A55"/>
    <w:rPr>
      <w:sz w:val="16"/>
      <w:szCs w:val="16"/>
    </w:rPr>
  </w:style>
  <w:style w:type="paragraph" w:styleId="CommentText">
    <w:name w:val="annotation text"/>
    <w:basedOn w:val="Normal"/>
    <w:link w:val="CommentTextChar"/>
    <w:uiPriority w:val="99"/>
    <w:semiHidden/>
    <w:unhideWhenUsed/>
    <w:rsid w:val="002B5A55"/>
    <w:rPr>
      <w:sz w:val="20"/>
      <w:szCs w:val="20"/>
    </w:rPr>
  </w:style>
  <w:style w:type="character" w:customStyle="1" w:styleId="CommentTextChar">
    <w:name w:val="Comment Text Char"/>
    <w:basedOn w:val="DefaultParagraphFont"/>
    <w:link w:val="CommentText"/>
    <w:uiPriority w:val="99"/>
    <w:semiHidden/>
    <w:rsid w:val="002B5A55"/>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B5A55"/>
    <w:rPr>
      <w:b/>
      <w:bCs/>
    </w:rPr>
  </w:style>
  <w:style w:type="character" w:customStyle="1" w:styleId="CommentSubjectChar">
    <w:name w:val="Comment Subject Char"/>
    <w:basedOn w:val="CommentTextChar"/>
    <w:link w:val="CommentSubject"/>
    <w:uiPriority w:val="99"/>
    <w:semiHidden/>
    <w:rsid w:val="002B5A55"/>
    <w:rPr>
      <w:rFonts w:ascii="Calibri" w:hAnsi="Calibri"/>
      <w:b/>
      <w:bCs/>
      <w:sz w:val="20"/>
      <w:szCs w:val="20"/>
    </w:rPr>
  </w:style>
  <w:style w:type="paragraph" w:customStyle="1" w:styleId="5BTBulletPoint">
    <w:name w:val="5. BT Bullet Point"/>
    <w:basedOn w:val="4BodyTextMain"/>
    <w:next w:val="4BodyTextMain"/>
    <w:qFormat/>
    <w:rsid w:val="005B78B7"/>
    <w:pPr>
      <w:numPr>
        <w:numId w:val="1"/>
      </w:numPr>
    </w:pPr>
  </w:style>
  <w:style w:type="paragraph" w:customStyle="1" w:styleId="4BTBold">
    <w:name w:val="4. BT Bold"/>
    <w:basedOn w:val="4BodyTextMain"/>
    <w:next w:val="4BodyTextMain"/>
    <w:qFormat/>
    <w:rsid w:val="00F23F2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1048">
      <w:bodyDiv w:val="1"/>
      <w:marLeft w:val="0"/>
      <w:marRight w:val="0"/>
      <w:marTop w:val="0"/>
      <w:marBottom w:val="0"/>
      <w:divBdr>
        <w:top w:val="none" w:sz="0" w:space="0" w:color="auto"/>
        <w:left w:val="none" w:sz="0" w:space="0" w:color="auto"/>
        <w:bottom w:val="none" w:sz="0" w:space="0" w:color="auto"/>
        <w:right w:val="none" w:sz="0" w:space="0" w:color="auto"/>
      </w:divBdr>
    </w:div>
    <w:div w:id="195350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Edwards\NAFD\NAFD%20-%20Marketing\Templates\NAFD%20A4%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6d0759-f98b-4e74-a7a4-5a5567741bba" xsi:nil="true"/>
    <lcf76f155ced4ddcb4097134ff3c332f xmlns="925d78b1-9185-40b2-9bac-634eb7cbe5a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29A5A8CB9B524CAEEC9538A95CAC81" ma:contentTypeVersion="11" ma:contentTypeDescription="Create a new document." ma:contentTypeScope="" ma:versionID="7ab05577898fe6fac944cb87398b357c">
  <xsd:schema xmlns:xsd="http://www.w3.org/2001/XMLSchema" xmlns:xs="http://www.w3.org/2001/XMLSchema" xmlns:p="http://schemas.microsoft.com/office/2006/metadata/properties" xmlns:ns2="925d78b1-9185-40b2-9bac-634eb7cbe5a2" xmlns:ns3="4e6d0759-f98b-4e74-a7a4-5a5567741bba" targetNamespace="http://schemas.microsoft.com/office/2006/metadata/properties" ma:root="true" ma:fieldsID="5ad8c27b237d98026ab820d0a4f9cbff" ns2:_="" ns3:_="">
    <xsd:import namespace="925d78b1-9185-40b2-9bac-634eb7cbe5a2"/>
    <xsd:import namespace="4e6d0759-f98b-4e74-a7a4-5a5567741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d78b1-9185-40b2-9bac-634eb7cbe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e94571-ae06-4a4e-b5fe-554c405346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6d0759-f98b-4e74-a7a4-5a5567741b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90ffa3-9ceb-4dae-a679-8821cc4c6b62}" ma:internalName="TaxCatchAll" ma:showField="CatchAllData" ma:web="4e6d0759-f98b-4e74-a7a4-5a5567741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2564C-3CB1-4A16-89A9-AD63F80D0467}">
  <ds:schemaRefs>
    <ds:schemaRef ds:uri="http://schemas.microsoft.com/office/2006/documentManagement/types"/>
    <ds:schemaRef ds:uri="http://purl.org/dc/dcmitype/"/>
    <ds:schemaRef ds:uri="11d8634c-f1ec-42ef-9318-c13b44338ff2"/>
    <ds:schemaRef ds:uri="4e6d0759-f98b-4e74-a7a4-5a5567741bba"/>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1BC38FE-FC8B-4735-BBB6-E5FC8033B414}">
  <ds:schemaRefs>
    <ds:schemaRef ds:uri="http://schemas.microsoft.com/sharepoint/v3/contenttype/forms"/>
  </ds:schemaRefs>
</ds:datastoreItem>
</file>

<file path=customXml/itemProps3.xml><?xml version="1.0" encoding="utf-8"?>
<ds:datastoreItem xmlns:ds="http://schemas.openxmlformats.org/officeDocument/2006/customXml" ds:itemID="{529262EE-2A42-46B4-BC9F-B84BEC2FF453}"/>
</file>

<file path=customXml/itemProps4.xml><?xml version="1.0" encoding="utf-8"?>
<ds:datastoreItem xmlns:ds="http://schemas.openxmlformats.org/officeDocument/2006/customXml" ds:itemID="{819161D9-59C5-6742-A9A8-B9BE7FA57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NAFD A4 Word Template</Template>
  <TotalTime>50</TotalTime>
  <Pages>10</Pages>
  <Words>1555</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NAFD – Ashes Management Procedure – V1.03/25</vt:lpstr>
    </vt:vector>
  </TitlesOfParts>
  <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Page 1 of 3</dc:subject>
  <dc:creator>Kate Edwards</dc:creator>
  <cp:keywords/>
  <dc:description/>
  <cp:lastModifiedBy>Kate Edwards</cp:lastModifiedBy>
  <cp:revision>35</cp:revision>
  <cp:lastPrinted>2025-10-14T19:53:00Z</cp:lastPrinted>
  <dcterms:created xsi:type="dcterms:W3CDTF">2025-10-14T16:56:00Z</dcterms:created>
  <dcterms:modified xsi:type="dcterms:W3CDTF">2025-10-14T19:53:00Z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e64b87f7-8edf-45e2-9f0e-f79afa0b1446</vt:lpwstr>
  </property>
  <property fmtid="{D5CDD505-2E9C-101B-9397-08002B2CF9AE}" pid="3" name="ContentTypeId">
    <vt:lpwstr>0x010100D029A5A8CB9B524CAEEC9538A95CAC81</vt:lpwstr>
  </property>
  <property fmtid="{D5CDD505-2E9C-101B-9397-08002B2CF9AE}" pid="4" name="MediaServiceImageTags">
    <vt:lpwstr/>
  </property>
  <property fmtid="{D5CDD505-2E9C-101B-9397-08002B2CF9AE}" pid="5" name="Order">
    <vt:r8>40600</vt:r8>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ies>
</file>